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FACCD">
      <w:pPr>
        <w:jc w:val="center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Style w:val="7"/>
          <w:rFonts w:hint="eastAsia" w:ascii="方正小标宋简体" w:hAnsi="Arial" w:eastAsia="方正小标宋简体" w:cs="Arial"/>
          <w:sz w:val="32"/>
          <w:szCs w:val="32"/>
        </w:rPr>
        <w:t>硕士研究生入学考试大纲</w:t>
      </w:r>
    </w:p>
    <w:p w14:paraId="755FEDF1">
      <w:pPr>
        <w:jc w:val="center"/>
        <w:rPr>
          <w:rFonts w:hint="eastAsia" w:ascii="宋体" w:hAnsi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>《3</w:t>
      </w:r>
      <w:r>
        <w:rPr>
          <w:rFonts w:ascii="宋体" w:hAnsi="宋体" w:cs="宋体"/>
          <w:b/>
          <w:bCs/>
          <w:color w:val="000000"/>
          <w:sz w:val="30"/>
          <w:szCs w:val="30"/>
        </w:rPr>
        <w:t>34</w:t>
      </w:r>
      <w:r>
        <w:rPr>
          <w:rFonts w:hint="eastAsia" w:ascii="宋体" w:hAnsi="宋体" w:cs="宋体"/>
          <w:b/>
          <w:bCs/>
          <w:color w:val="000000"/>
          <w:sz w:val="30"/>
          <w:szCs w:val="30"/>
        </w:rPr>
        <w:t xml:space="preserve">新闻与传播专业综合能力》 </w:t>
      </w:r>
    </w:p>
    <w:p w14:paraId="5FFD57F3">
      <w:pPr>
        <w:spacing w:line="360" w:lineRule="auto"/>
        <w:jc w:val="center"/>
        <w:rPr>
          <w:rFonts w:hint="eastAsia" w:ascii="宋体" w:hAnsi="宋体" w:cs="宋体"/>
          <w:b/>
          <w:sz w:val="30"/>
          <w:szCs w:val="30"/>
        </w:rPr>
      </w:pPr>
    </w:p>
    <w:p w14:paraId="7C382C2F">
      <w:pPr>
        <w:spacing w:line="360" w:lineRule="auto"/>
        <w:jc w:val="center"/>
        <w:rPr>
          <w:rFonts w:hint="eastAsia" w:ascii="黑体" w:hAnsi="黑体" w:eastAsia="黑体" w:cstheme="minorBidi"/>
          <w:b/>
          <w:sz w:val="32"/>
          <w:szCs w:val="32"/>
        </w:rPr>
      </w:pPr>
      <w:r>
        <w:rPr>
          <w:rFonts w:ascii="宋体" w:hAnsi="宋体" w:cs="宋体"/>
          <w:b/>
          <w:sz w:val="30"/>
          <w:szCs w:val="30"/>
        </w:rPr>
        <w:t>Ⅰ.</w:t>
      </w:r>
      <w:r>
        <w:rPr>
          <w:rFonts w:hint="eastAsia" w:ascii="黑体" w:hAnsi="黑体" w:eastAsia="黑体" w:cstheme="minorBidi"/>
          <w:b/>
          <w:sz w:val="30"/>
          <w:szCs w:val="30"/>
        </w:rPr>
        <w:t>考试参考书目</w:t>
      </w:r>
    </w:p>
    <w:p w14:paraId="12040E2C">
      <w:pPr>
        <w:pStyle w:val="10"/>
        <w:spacing w:line="276" w:lineRule="auto"/>
        <w:ind w:left="283" w:leftChars="135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1、《新闻写作教程》，刘明华，中国人民大学出版社，2022年。</w:t>
      </w:r>
    </w:p>
    <w:p w14:paraId="11490898">
      <w:pPr>
        <w:pStyle w:val="10"/>
        <w:spacing w:line="276" w:lineRule="auto"/>
        <w:ind w:left="283" w:leftChars="135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2、《视听语言（第三版）》，陆绍阳，北京大学出版社，2021年。</w:t>
      </w:r>
    </w:p>
    <w:p w14:paraId="40A074A4">
      <w:pPr>
        <w:pStyle w:val="10"/>
        <w:spacing w:line="276" w:lineRule="auto"/>
        <w:ind w:left="283" w:leftChars="135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3、《融合新闻学》,刘涛，高等教育出版社，20</w:t>
      </w:r>
      <w:r>
        <w:rPr>
          <w:rFonts w:ascii="仿宋" w:hAnsi="仿宋" w:eastAsia="仿宋" w:cs="Arial"/>
          <w:sz w:val="28"/>
          <w:szCs w:val="28"/>
        </w:rPr>
        <w:t>21</w:t>
      </w:r>
      <w:r>
        <w:rPr>
          <w:rFonts w:hint="eastAsia" w:ascii="仿宋" w:hAnsi="仿宋" w:eastAsia="仿宋" w:cs="Arial"/>
          <w:sz w:val="28"/>
          <w:szCs w:val="28"/>
        </w:rPr>
        <w:t xml:space="preserve">年 </w:t>
      </w:r>
    </w:p>
    <w:p w14:paraId="66A79C6E">
      <w:pPr>
        <w:spacing w:line="276" w:lineRule="auto"/>
        <w:ind w:left="283" w:leftChars="135"/>
        <w:jc w:val="left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4、</w:t>
      </w:r>
      <w:r>
        <w:rPr>
          <w:rFonts w:hint="eastAsia" w:ascii="仿宋" w:hAnsi="仿宋" w:eastAsia="仿宋" w:cs="Arial"/>
          <w:kern w:val="0"/>
          <w:sz w:val="28"/>
          <w:szCs w:val="28"/>
        </w:rPr>
        <w:t>《数字营销传播导论》,程明，武汉大学出版社，2022年。</w:t>
      </w:r>
    </w:p>
    <w:p w14:paraId="03A8F9CD">
      <w:pPr>
        <w:spacing w:line="276" w:lineRule="auto"/>
        <w:ind w:left="283" w:leftChars="135"/>
        <w:jc w:val="left"/>
        <w:rPr>
          <w:rFonts w:hint="eastAsia" w:ascii="宋体" w:hAnsi="宋体" w:cs="Arial"/>
          <w:color w:val="000000"/>
          <w:kern w:val="0"/>
          <w:sz w:val="18"/>
          <w:szCs w:val="18"/>
        </w:rPr>
      </w:pPr>
    </w:p>
    <w:p w14:paraId="47291488">
      <w:pPr>
        <w:spacing w:line="360" w:lineRule="auto"/>
        <w:jc w:val="center"/>
        <w:rPr>
          <w:rFonts w:hint="eastAsia" w:ascii="黑体" w:hAnsi="黑体" w:eastAsia="黑体" w:cstheme="minorBidi"/>
          <w:b/>
          <w:sz w:val="30"/>
          <w:szCs w:val="30"/>
        </w:rPr>
      </w:pPr>
      <w:r>
        <w:rPr>
          <w:rFonts w:ascii="宋体" w:hAnsi="宋体" w:cs="宋体"/>
          <w:b/>
          <w:sz w:val="30"/>
          <w:szCs w:val="30"/>
        </w:rPr>
        <w:t>Ⅱ.</w:t>
      </w:r>
      <w:r>
        <w:rPr>
          <w:rFonts w:ascii="黑体" w:hAnsi="黑体" w:eastAsia="黑体" w:cstheme="minorBidi"/>
          <w:b/>
          <w:sz w:val="30"/>
          <w:szCs w:val="30"/>
        </w:rPr>
        <w:t>考</w:t>
      </w:r>
      <w:r>
        <w:rPr>
          <w:rFonts w:hint="eastAsia" w:ascii="黑体" w:hAnsi="黑体" w:eastAsia="黑体" w:cstheme="minorBidi"/>
          <w:b/>
          <w:sz w:val="30"/>
          <w:szCs w:val="30"/>
        </w:rPr>
        <w:t>试大纲</w:t>
      </w:r>
    </w:p>
    <w:p w14:paraId="0E0586D1">
      <w:pPr>
        <w:spacing w:line="360" w:lineRule="atLeast"/>
        <w:rPr>
          <w:rFonts w:hint="eastAsia" w:ascii="仿宋" w:hAnsi="仿宋" w:eastAsia="仿宋" w:cs="Arial"/>
          <w:b/>
          <w:color w:val="00000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sz w:val="30"/>
          <w:szCs w:val="30"/>
        </w:rPr>
        <w:t>一、考试性质</w:t>
      </w:r>
    </w:p>
    <w:p w14:paraId="0511B880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sz w:val="28"/>
          <w:szCs w:val="28"/>
        </w:rPr>
        <w:t>《新闻与传播专业综合能力》是新闻与传播</w:t>
      </w:r>
      <w:r>
        <w:rPr>
          <w:rFonts w:ascii="仿宋" w:hAnsi="仿宋" w:eastAsia="仿宋" w:cs="Arial"/>
          <w:color w:val="000000"/>
          <w:sz w:val="28"/>
          <w:szCs w:val="28"/>
        </w:rPr>
        <w:t>（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专业学位</w:t>
      </w:r>
      <w:r>
        <w:rPr>
          <w:rFonts w:ascii="仿宋" w:hAnsi="仿宋" w:eastAsia="仿宋" w:cs="Arial"/>
          <w:color w:val="000000"/>
          <w:sz w:val="28"/>
          <w:szCs w:val="28"/>
        </w:rPr>
        <w:t>）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硕士生入学专业考试科目之一，考试要求力求反映新闻与传播专业硕士学位的特点，科学、公平、准确、规范地测评考生的基本素质和综合能力，选拔具有发展潜力的人才。</w:t>
      </w:r>
    </w:p>
    <w:p w14:paraId="09BA9450">
      <w:pPr>
        <w:spacing w:line="360" w:lineRule="atLeast"/>
        <w:rPr>
          <w:rFonts w:hint="eastAsia" w:ascii="仿宋" w:hAnsi="仿宋" w:eastAsia="仿宋" w:cs="Arial"/>
          <w:b/>
          <w:color w:val="00000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sz w:val="30"/>
          <w:szCs w:val="30"/>
        </w:rPr>
        <w:t>二、考察目标</w:t>
      </w:r>
    </w:p>
    <w:p w14:paraId="55D88266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理解与掌握新闻采写、新闻评论、事件通讯的基本概念、写作要求和写作方法，能够灵活运用相关理论对当前热点新闻、网络事件进行理论把握、综合探讨，有独立见解；掌握融媒体新闻制作的相关技能，能完成适用于各种不同平台的内容策划采、写、编、评业务；掌握数字媒体传播与营销的相关概念和知识、洞察消费者与市场的方法，能针对当下的数字经济开展营销策划。</w:t>
      </w:r>
    </w:p>
    <w:p w14:paraId="202B7ACB">
      <w:pPr>
        <w:spacing w:line="276" w:lineRule="auto"/>
        <w:jc w:val="left"/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bookmarkStart w:id="0" w:name="_Hlk138605870"/>
      <w:r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  <w:t>考试形式和试卷结构</w:t>
      </w:r>
    </w:p>
    <w:p w14:paraId="3F127F3C">
      <w:pPr>
        <w:rPr>
          <w:rFonts w:hint="eastAsia" w:ascii="仿宋" w:hAnsi="仿宋" w:eastAsia="仿宋" w:cs="Arial"/>
          <w:color w:val="000000"/>
          <w:kern w:val="0"/>
          <w:sz w:val="30"/>
          <w:szCs w:val="30"/>
        </w:rPr>
      </w:pPr>
      <w:r>
        <w:rPr>
          <w:rStyle w:val="7"/>
          <w:rFonts w:hint="eastAsia" w:ascii="仿宋" w:hAnsi="仿宋" w:eastAsia="仿宋" w:cs="Arial"/>
          <w:sz w:val="30"/>
          <w:szCs w:val="30"/>
        </w:rPr>
        <w:t>（一）试卷满分及考试时间</w:t>
      </w:r>
    </w:p>
    <w:p w14:paraId="43A7F132">
      <w:pPr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试卷满分为150分，考试时间为180分钟。</w:t>
      </w:r>
    </w:p>
    <w:p w14:paraId="1CDCE12F">
      <w:pPr>
        <w:rPr>
          <w:rFonts w:hint="eastAsia" w:ascii="仿宋" w:hAnsi="仿宋" w:eastAsia="仿宋"/>
          <w:sz w:val="30"/>
          <w:szCs w:val="30"/>
        </w:rPr>
      </w:pPr>
      <w:r>
        <w:rPr>
          <w:rStyle w:val="7"/>
          <w:rFonts w:hint="eastAsia" w:ascii="仿宋" w:hAnsi="仿宋" w:eastAsia="仿宋" w:cs="Arial"/>
          <w:sz w:val="30"/>
          <w:szCs w:val="30"/>
        </w:rPr>
        <w:t>（二）答题方式</w:t>
      </w:r>
    </w:p>
    <w:p w14:paraId="60B78FA1">
      <w:pPr>
        <w:ind w:firstLine="560" w:firstLineChars="200"/>
        <w:rPr>
          <w:rFonts w:hint="eastAsia"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答题方式为闭卷、笔试。不允许使用计算器。</w:t>
      </w:r>
    </w:p>
    <w:p w14:paraId="7D0DFF3B">
      <w:pPr>
        <w:rPr>
          <w:rFonts w:hint="eastAsia" w:ascii="仿宋" w:hAnsi="仿宋" w:eastAsia="仿宋"/>
          <w:sz w:val="30"/>
          <w:szCs w:val="30"/>
        </w:rPr>
      </w:pPr>
      <w:r>
        <w:rPr>
          <w:rStyle w:val="7"/>
          <w:rFonts w:hint="eastAsia" w:ascii="仿宋" w:hAnsi="仿宋" w:eastAsia="仿宋" w:cs="Arial"/>
          <w:sz w:val="30"/>
          <w:szCs w:val="30"/>
        </w:rPr>
        <w:t>（三）试卷包含内容</w:t>
      </w:r>
    </w:p>
    <w:p w14:paraId="1D058248">
      <w:pPr>
        <w:ind w:firstLine="560" w:firstLineChars="200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简答（每题20分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共3题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总计6</w:t>
      </w:r>
      <w:r>
        <w:rPr>
          <w:rFonts w:ascii="仿宋" w:hAnsi="仿宋" w:eastAsia="仿宋" w:cs="Arial"/>
          <w:kern w:val="0"/>
          <w:sz w:val="28"/>
          <w:szCs w:val="28"/>
        </w:rPr>
        <w:t>0</w:t>
      </w:r>
      <w:r>
        <w:rPr>
          <w:rFonts w:hint="eastAsia" w:ascii="仿宋" w:hAnsi="仿宋" w:eastAsia="仿宋" w:cs="Arial"/>
          <w:kern w:val="0"/>
          <w:sz w:val="28"/>
          <w:szCs w:val="28"/>
        </w:rPr>
        <w:t>分）</w:t>
      </w:r>
    </w:p>
    <w:p w14:paraId="7763C3C4">
      <w:pPr>
        <w:spacing w:line="360" w:lineRule="auto"/>
        <w:ind w:firstLine="495" w:firstLineChars="177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写作题（每题4</w:t>
      </w:r>
      <w:r>
        <w:rPr>
          <w:rFonts w:ascii="仿宋" w:hAnsi="仿宋" w:eastAsia="仿宋" w:cs="Arial"/>
          <w:kern w:val="0"/>
          <w:sz w:val="28"/>
          <w:szCs w:val="28"/>
        </w:rPr>
        <w:t>0</w:t>
      </w:r>
      <w:r>
        <w:rPr>
          <w:rFonts w:hint="eastAsia" w:ascii="仿宋" w:hAnsi="仿宋" w:eastAsia="仿宋" w:cs="Arial"/>
          <w:kern w:val="0"/>
          <w:sz w:val="28"/>
          <w:szCs w:val="28"/>
        </w:rPr>
        <w:t>分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共1题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总计4</w:t>
      </w:r>
      <w:r>
        <w:rPr>
          <w:rFonts w:ascii="仿宋" w:hAnsi="仿宋" w:eastAsia="仿宋" w:cs="Arial"/>
          <w:kern w:val="0"/>
          <w:sz w:val="28"/>
          <w:szCs w:val="28"/>
        </w:rPr>
        <w:t>0</w:t>
      </w:r>
      <w:r>
        <w:rPr>
          <w:rFonts w:hint="eastAsia" w:ascii="仿宋" w:hAnsi="仿宋" w:eastAsia="仿宋" w:cs="Arial"/>
          <w:kern w:val="0"/>
          <w:sz w:val="28"/>
          <w:szCs w:val="28"/>
        </w:rPr>
        <w:t>分</w:t>
      </w:r>
      <w:r>
        <w:rPr>
          <w:rFonts w:ascii="仿宋" w:hAnsi="仿宋" w:eastAsia="仿宋" w:cs="Arial"/>
          <w:kern w:val="0"/>
          <w:sz w:val="28"/>
          <w:szCs w:val="28"/>
        </w:rPr>
        <w:t>）</w:t>
      </w:r>
    </w:p>
    <w:bookmarkEnd w:id="0"/>
    <w:p w14:paraId="5E5534C6">
      <w:pPr>
        <w:spacing w:line="276" w:lineRule="auto"/>
        <w:ind w:firstLine="560" w:firstLineChars="200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操作题</w:t>
      </w:r>
      <w:r>
        <w:rPr>
          <w:rFonts w:ascii="仿宋" w:hAnsi="仿宋" w:eastAsia="仿宋" w:cs="Arial"/>
          <w:kern w:val="0"/>
          <w:sz w:val="28"/>
          <w:szCs w:val="28"/>
        </w:rPr>
        <w:t>（</w:t>
      </w:r>
      <w:r>
        <w:rPr>
          <w:rFonts w:hint="eastAsia" w:ascii="仿宋" w:hAnsi="仿宋" w:eastAsia="仿宋" w:cs="Arial"/>
          <w:kern w:val="0"/>
          <w:sz w:val="28"/>
          <w:szCs w:val="28"/>
        </w:rPr>
        <w:t>每题50分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共1题</w:t>
      </w:r>
      <w:r>
        <w:rPr>
          <w:rFonts w:ascii="仿宋" w:hAnsi="仿宋" w:eastAsia="仿宋" w:cs="Arial"/>
          <w:kern w:val="0"/>
          <w:sz w:val="28"/>
          <w:szCs w:val="28"/>
        </w:rPr>
        <w:t>，</w:t>
      </w:r>
      <w:r>
        <w:rPr>
          <w:rFonts w:hint="eastAsia" w:ascii="仿宋" w:hAnsi="仿宋" w:eastAsia="仿宋" w:cs="Arial"/>
          <w:kern w:val="0"/>
          <w:sz w:val="28"/>
          <w:szCs w:val="28"/>
        </w:rPr>
        <w:t>总计5</w:t>
      </w:r>
      <w:r>
        <w:rPr>
          <w:rFonts w:ascii="仿宋" w:hAnsi="仿宋" w:eastAsia="仿宋" w:cs="Arial"/>
          <w:kern w:val="0"/>
          <w:sz w:val="28"/>
          <w:szCs w:val="28"/>
        </w:rPr>
        <w:t>0</w:t>
      </w:r>
      <w:r>
        <w:rPr>
          <w:rFonts w:hint="eastAsia" w:ascii="仿宋" w:hAnsi="仿宋" w:eastAsia="仿宋" w:cs="Arial"/>
          <w:kern w:val="0"/>
          <w:sz w:val="28"/>
          <w:szCs w:val="28"/>
        </w:rPr>
        <w:t>分</w:t>
      </w:r>
      <w:r>
        <w:rPr>
          <w:rFonts w:ascii="仿宋" w:hAnsi="仿宋" w:eastAsia="仿宋" w:cs="Arial"/>
          <w:kern w:val="0"/>
          <w:sz w:val="28"/>
          <w:szCs w:val="28"/>
        </w:rPr>
        <w:t>）</w:t>
      </w:r>
    </w:p>
    <w:p w14:paraId="60AA74FF">
      <w:pPr>
        <w:spacing w:line="360" w:lineRule="atLeast"/>
        <w:rPr>
          <w:rFonts w:hint="eastAsia" w:ascii="仿宋" w:hAnsi="仿宋" w:eastAsia="仿宋" w:cs="Arial"/>
          <w:b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Arial"/>
          <w:b/>
          <w:sz w:val="30"/>
          <w:szCs w:val="30"/>
        </w:rPr>
        <w:t>考查内容</w:t>
      </w:r>
    </w:p>
    <w:p w14:paraId="4C1D5420">
      <w:pPr>
        <w:spacing w:line="360" w:lineRule="atLeast"/>
        <w:ind w:firstLine="560" w:firstLineChars="200"/>
        <w:rPr>
          <w:rFonts w:hint="eastAsia" w:ascii="仿宋" w:hAnsi="仿宋" w:eastAsia="仿宋" w:cs="Arial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1</w:t>
      </w:r>
      <w:r>
        <w:rPr>
          <w:rFonts w:hint="eastAsia" w:ascii="仿宋" w:hAnsi="仿宋" w:eastAsia="仿宋" w:cs="Arial"/>
          <w:sz w:val="28"/>
          <w:szCs w:val="28"/>
        </w:rPr>
        <w:t>、掌握新闻消息、新闻评论、事件通讯的基本原则、规范要求与写作方法，熟悉新闻伦理与法律法规规范，熟练新闻采访的主要方式、内涵及基本要求，了解新闻报道策划的结构与要求。</w:t>
      </w:r>
    </w:p>
    <w:p w14:paraId="155B80B9">
      <w:pPr>
        <w:spacing w:line="360" w:lineRule="atLeast"/>
        <w:ind w:firstLine="560" w:firstLineChars="200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2、掌握影像中光、</w:t>
      </w:r>
      <w:bookmarkStart w:id="1" w:name="_GoBack"/>
      <w:bookmarkEnd w:id="1"/>
      <w:r>
        <w:rPr>
          <w:rFonts w:hint="eastAsia" w:ascii="仿宋" w:hAnsi="仿宋" w:eastAsia="仿宋" w:cs="Arial"/>
          <w:sz w:val="28"/>
          <w:szCs w:val="28"/>
        </w:rPr>
        <w:t>色彩、构图等视觉构成要素的艺术特性，了解镜头处理、场面调度、镜头组接和蒙太奇、长镜头、节奏、声音等视听语言的表现力及其相互关系。</w:t>
      </w:r>
    </w:p>
    <w:p w14:paraId="065747F6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sz w:val="28"/>
          <w:szCs w:val="28"/>
        </w:rPr>
        <w:t>3、掌握融媒体新闻报道中的组织策划与采写的核心能力，包括：包括融媒体新闻的价值判断、信息采集、视觉呈现和跨屏传播等，了解传统媒体融合转型过程中媒体流程的再造，对传统媒体和新媒体中不同的新闻呈现与传播方法要</w:t>
      </w:r>
      <w:r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有较深入理解和掌握。</w:t>
      </w:r>
    </w:p>
    <w:p w14:paraId="5D705C5E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4、理解媒介与经济、政治和社会发展的关系，能利用新闻学与传播学的相关知识阐释、分析融媒体新闻实践中的事件和现象。</w:t>
      </w:r>
    </w:p>
    <w:p w14:paraId="20BE2DA6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sz w:val="28"/>
          <w:szCs w:val="28"/>
        </w:rPr>
        <w:t>5、掌握</w:t>
      </w:r>
      <w:r>
        <w:rPr>
          <w:rFonts w:ascii="仿宋" w:hAnsi="仿宋" w:eastAsia="仿宋" w:cs="Arial"/>
          <w:color w:val="000000"/>
          <w:sz w:val="28"/>
          <w:szCs w:val="28"/>
        </w:rPr>
        <w:t>社会化媒体与数字营销传播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的基本概念、方法与实务，</w:t>
      </w:r>
      <w:r>
        <w:rPr>
          <w:rFonts w:ascii="仿宋" w:hAnsi="仿宋" w:eastAsia="仿宋" w:cs="Arial"/>
          <w:color w:val="000000"/>
          <w:sz w:val="28"/>
          <w:szCs w:val="28"/>
        </w:rPr>
        <w:t>涉及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：</w:t>
      </w:r>
      <w:r>
        <w:rPr>
          <w:rFonts w:ascii="仿宋" w:hAnsi="仿宋" w:eastAsia="仿宋" w:cs="Arial"/>
          <w:color w:val="000000"/>
          <w:sz w:val="28"/>
          <w:szCs w:val="28"/>
        </w:rPr>
        <w:t>内容营销策略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；</w:t>
      </w:r>
      <w:r>
        <w:rPr>
          <w:rFonts w:ascii="仿宋" w:hAnsi="仿宋" w:eastAsia="仿宋" w:cs="Arial"/>
          <w:color w:val="000000"/>
          <w:sz w:val="28"/>
          <w:szCs w:val="28"/>
        </w:rPr>
        <w:t>社群与社群营销传播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；</w:t>
      </w:r>
      <w:r>
        <w:rPr>
          <w:rFonts w:ascii="仿宋" w:hAnsi="仿宋" w:eastAsia="仿宋" w:cs="Arial"/>
          <w:color w:val="000000"/>
          <w:sz w:val="28"/>
          <w:szCs w:val="28"/>
        </w:rPr>
        <w:t>场景与场景营销传播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；</w:t>
      </w:r>
      <w:r>
        <w:rPr>
          <w:rFonts w:ascii="仿宋" w:hAnsi="仿宋" w:eastAsia="仿宋" w:cs="Arial"/>
          <w:color w:val="000000"/>
          <w:sz w:val="28"/>
          <w:szCs w:val="28"/>
        </w:rPr>
        <w:t>网络直播与网络直播营销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；</w:t>
      </w:r>
      <w:r>
        <w:rPr>
          <w:rFonts w:ascii="仿宋" w:hAnsi="仿宋" w:eastAsia="仿宋" w:cs="Arial"/>
          <w:color w:val="000000"/>
          <w:sz w:val="28"/>
          <w:szCs w:val="28"/>
        </w:rPr>
        <w:t>数字时代的品牌传播、智能营销传播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等相关知识。</w:t>
      </w:r>
    </w:p>
    <w:p w14:paraId="68F006B3">
      <w:pPr>
        <w:spacing w:line="360" w:lineRule="atLeast"/>
        <w:ind w:firstLine="560" w:firstLineChars="200"/>
        <w:rPr>
          <w:rFonts w:hint="eastAsia" w:ascii="仿宋" w:hAnsi="仿宋" w:eastAsia="仿宋" w:cs="Arial"/>
          <w:color w:val="00000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sz w:val="28"/>
          <w:szCs w:val="28"/>
        </w:rPr>
        <w:t>6、关注当前数字新闻与传播和数字经济发展的动态变化，扩大阅读视野和理解能力，对当前学界和业界的理论和实务的新进展都有基本的了解。</w:t>
      </w:r>
    </w:p>
    <w:p w14:paraId="41EFF875">
      <w:pPr>
        <w:spacing w:line="360" w:lineRule="atLeast"/>
        <w:rPr>
          <w:rFonts w:hint="eastAsia" w:ascii="仿宋" w:hAnsi="仿宋" w:eastAsia="仿宋" w:cs="Arial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1D8C2B9-D4D9-45A6-B95B-2730C4CFD1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E3F50AC-721E-429C-804E-2366DAF0A5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DAF260A-3758-4BFF-89C7-F5BAF63DE7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35F4880-11AE-48C6-9C47-5C9D1EE2D7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5C"/>
    <w:rsid w:val="00021025"/>
    <w:rsid w:val="00021D3B"/>
    <w:rsid w:val="00041E14"/>
    <w:rsid w:val="0005664C"/>
    <w:rsid w:val="00080A13"/>
    <w:rsid w:val="000D4269"/>
    <w:rsid w:val="000D76C1"/>
    <w:rsid w:val="0011464A"/>
    <w:rsid w:val="001708B8"/>
    <w:rsid w:val="00187C0F"/>
    <w:rsid w:val="001A0454"/>
    <w:rsid w:val="001D79A0"/>
    <w:rsid w:val="00216577"/>
    <w:rsid w:val="003945BB"/>
    <w:rsid w:val="003A0FFE"/>
    <w:rsid w:val="003A2CC4"/>
    <w:rsid w:val="003B16CE"/>
    <w:rsid w:val="003F08CF"/>
    <w:rsid w:val="003F404C"/>
    <w:rsid w:val="00420CC1"/>
    <w:rsid w:val="00473E70"/>
    <w:rsid w:val="004B0710"/>
    <w:rsid w:val="00523464"/>
    <w:rsid w:val="0053389F"/>
    <w:rsid w:val="00544409"/>
    <w:rsid w:val="00566AB0"/>
    <w:rsid w:val="005A5588"/>
    <w:rsid w:val="005B048E"/>
    <w:rsid w:val="005E2641"/>
    <w:rsid w:val="00652BC4"/>
    <w:rsid w:val="006A599B"/>
    <w:rsid w:val="006D24A0"/>
    <w:rsid w:val="00747779"/>
    <w:rsid w:val="00760240"/>
    <w:rsid w:val="00760692"/>
    <w:rsid w:val="0076463C"/>
    <w:rsid w:val="00764C22"/>
    <w:rsid w:val="007B3771"/>
    <w:rsid w:val="007C5F38"/>
    <w:rsid w:val="00882B1E"/>
    <w:rsid w:val="008B33FD"/>
    <w:rsid w:val="009808B3"/>
    <w:rsid w:val="0098449F"/>
    <w:rsid w:val="009E291F"/>
    <w:rsid w:val="00A005F7"/>
    <w:rsid w:val="00A077C4"/>
    <w:rsid w:val="00A23409"/>
    <w:rsid w:val="00A510C3"/>
    <w:rsid w:val="00A544C8"/>
    <w:rsid w:val="00A84CD0"/>
    <w:rsid w:val="00A876CD"/>
    <w:rsid w:val="00A91629"/>
    <w:rsid w:val="00A929B9"/>
    <w:rsid w:val="00AF4669"/>
    <w:rsid w:val="00B1765C"/>
    <w:rsid w:val="00B5659F"/>
    <w:rsid w:val="00B76A17"/>
    <w:rsid w:val="00B907BD"/>
    <w:rsid w:val="00BB3CDC"/>
    <w:rsid w:val="00BC1A38"/>
    <w:rsid w:val="00BD2B94"/>
    <w:rsid w:val="00BE2B9C"/>
    <w:rsid w:val="00C12B83"/>
    <w:rsid w:val="00C26BA8"/>
    <w:rsid w:val="00C8144E"/>
    <w:rsid w:val="00C81862"/>
    <w:rsid w:val="00CA73B4"/>
    <w:rsid w:val="00D23D8F"/>
    <w:rsid w:val="00D34EBA"/>
    <w:rsid w:val="00D520AA"/>
    <w:rsid w:val="00DA59D1"/>
    <w:rsid w:val="00E12966"/>
    <w:rsid w:val="00E80125"/>
    <w:rsid w:val="00ED3A73"/>
    <w:rsid w:val="00ED4235"/>
    <w:rsid w:val="00EF7E29"/>
    <w:rsid w:val="00F00022"/>
    <w:rsid w:val="00F13612"/>
    <w:rsid w:val="00F65EB8"/>
    <w:rsid w:val="00FA73DC"/>
    <w:rsid w:val="00FC53AD"/>
    <w:rsid w:val="017F3F35"/>
    <w:rsid w:val="35901E29"/>
    <w:rsid w:val="5F987C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10">
    <w:name w:val="p0"/>
    <w:basedOn w:val="1"/>
    <w:uiPriority w:val="0"/>
    <w:pPr>
      <w:widowControl/>
    </w:pPr>
    <w:rPr>
      <w:kern w:val="0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1038</Words>
  <Characters>1064</Characters>
  <Lines>32</Lines>
  <Paragraphs>28</Paragraphs>
  <TotalTime>74</TotalTime>
  <ScaleCrop>false</ScaleCrop>
  <LinksUpToDate>false</LinksUpToDate>
  <CharactersWithSpaces>1066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2022-09-02T09:47:00Z</dcterms:created>
  <dc:creator>tanduoduo</dc:creator>
  <cp:lastModifiedBy>悦北</cp:lastModifiedBy>
  <dcterms:modified xsi:type="dcterms:W3CDTF">2026-07-27T06:50:25Z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9437ADBBFB7C451B8C7638C203D4E464</vt:lpwstr>
  </property>
  <property fmtid="{D5CDD505-2E9C-101B-9397-08002B2CF9AE}" pid="4" name="KSOTemplateDocerSaveRecord">
    <vt:lpwstr>eyJoZGlkIjoiYTBhNjgxNjllMmJhZmE3NjYxM2UwNWY5NTVjMWQ2NWQiLCJ1c2VySWQiOiIxMTUxODkwMTE2In0=</vt:lpwstr>
  </property>
</Properties>
</file>