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F62BC5B">
      <w:pPr>
        <w:pStyle w:val="5"/>
        <w:shd w:val="clear" w:color="auto" w:fill="FAFAFA"/>
        <w:spacing w:before="0" w:beforeAutospacing="0" w:after="0" w:afterAutospacing="0" w:line="600" w:lineRule="exact"/>
        <w:jc w:val="center"/>
        <w:outlineLvl w:val="0"/>
        <w:rPr>
          <w:rFonts w:hint="eastAsia" w:ascii="方正小标宋简体" w:hAnsi="Arial" w:eastAsia="方正小标宋简体" w:cs="Arial"/>
          <w:sz w:val="44"/>
          <w:szCs w:val="36"/>
        </w:rPr>
      </w:pPr>
      <w:r>
        <w:rPr>
          <w:rStyle w:val="8"/>
          <w:rFonts w:hint="eastAsia" w:ascii="方正小标宋简体" w:hAnsi="Arial" w:eastAsia="方正小标宋简体" w:cs="Arial"/>
          <w:sz w:val="44"/>
          <w:szCs w:val="36"/>
        </w:rPr>
        <w:t>硕士研究生入学考试大纲</w:t>
      </w:r>
      <w:bookmarkStart w:id="0" w:name="_GoBack"/>
      <w:bookmarkEnd w:id="0"/>
      <w:r>
        <w:rPr>
          <w:rStyle w:val="8"/>
          <w:rFonts w:ascii="方正小标宋简体" w:hAnsi="Arial" w:eastAsia="方正小标宋简体" w:cs="Arial"/>
          <w:sz w:val="44"/>
          <w:szCs w:val="36"/>
        </w:rPr>
        <w:br w:type="textWrapping"/>
      </w:r>
      <w:r>
        <w:rPr>
          <w:rFonts w:hint="eastAsia" w:ascii="方正小标宋简体" w:hAnsi="Arial" w:eastAsia="方正小标宋简体" w:cs="Arial"/>
          <w:sz w:val="44"/>
          <w:szCs w:val="36"/>
        </w:rPr>
        <w:t>《</w:t>
      </w:r>
      <w:r>
        <w:rPr>
          <w:rFonts w:hint="eastAsia" w:ascii="方正小标宋简体" w:hAnsi="Arial" w:eastAsia="方正小标宋简体" w:cs="Arial"/>
          <w:sz w:val="44"/>
          <w:szCs w:val="36"/>
          <w:lang w:val="en-US" w:eastAsia="zh-CN"/>
        </w:rPr>
        <w:t>831量子力学</w:t>
      </w:r>
      <w:r>
        <w:rPr>
          <w:rFonts w:hint="eastAsia" w:ascii="方正小标宋简体" w:hAnsi="Arial" w:eastAsia="方正小标宋简体" w:cs="Arial"/>
          <w:sz w:val="44"/>
          <w:szCs w:val="36"/>
        </w:rPr>
        <w:t>》</w:t>
      </w:r>
    </w:p>
    <w:p w14:paraId="4733BE5A">
      <w:pPr>
        <w:pStyle w:val="5"/>
        <w:shd w:val="clear" w:color="auto" w:fill="FAFAFA"/>
        <w:spacing w:before="0" w:beforeAutospacing="0" w:after="0" w:afterAutospacing="0" w:line="600" w:lineRule="exact"/>
        <w:jc w:val="center"/>
        <w:rPr>
          <w:rFonts w:ascii="方正小标宋简体" w:hAnsi="Arial" w:eastAsia="方正小标宋简体" w:cs="Arial"/>
          <w:sz w:val="44"/>
          <w:szCs w:val="36"/>
        </w:rPr>
      </w:pPr>
    </w:p>
    <w:p w14:paraId="7AE89D91">
      <w:pPr>
        <w:pStyle w:val="5"/>
        <w:numPr>
          <w:ilvl w:val="0"/>
          <w:numId w:val="1"/>
        </w:numPr>
        <w:shd w:val="clear" w:color="auto" w:fill="FAFAFA"/>
        <w:spacing w:before="0" w:beforeAutospacing="0" w:after="0" w:afterAutospacing="0" w:line="560" w:lineRule="exact"/>
        <w:ind w:left="0" w:firstLine="643" w:firstLineChars="200"/>
        <w:outlineLvl w:val="1"/>
        <w:rPr>
          <w:rFonts w:hint="eastAsia" w:ascii="黑体" w:hAnsi="黑体" w:eastAsia="黑体" w:cs="Arial"/>
          <w:sz w:val="32"/>
          <w:szCs w:val="32"/>
        </w:rPr>
      </w:pPr>
      <w:r>
        <w:rPr>
          <w:rStyle w:val="8"/>
          <w:rFonts w:hint="eastAsia" w:ascii="黑体" w:hAnsi="黑体" w:eastAsia="黑体" w:cs="Arial"/>
          <w:sz w:val="32"/>
          <w:szCs w:val="32"/>
        </w:rPr>
        <w:t>考试性质</w:t>
      </w:r>
    </w:p>
    <w:p w14:paraId="1A97FD32">
      <w:pPr>
        <w:pStyle w:val="5"/>
        <w:shd w:val="clear" w:color="auto" w:fill="FAFAFA"/>
        <w:spacing w:before="0" w:beforeAutospacing="0" w:after="0" w:afterAutospacing="0" w:line="560" w:lineRule="exact"/>
        <w:ind w:firstLine="640" w:firstLineChars="200"/>
        <w:rPr>
          <w:rFonts w:hint="eastAsia" w:ascii="仿宋_GB2312" w:hAnsi="Arial" w:eastAsia="仿宋_GB2312" w:cs="Arial"/>
          <w:sz w:val="32"/>
          <w:szCs w:val="32"/>
          <w:lang w:eastAsia="zh-CN"/>
        </w:rPr>
      </w:pPr>
      <w:r>
        <w:rPr>
          <w:rFonts w:hint="eastAsia" w:ascii="仿宋_GB2312" w:hAnsi="Arial" w:eastAsia="仿宋_GB2312" w:cs="Arial"/>
          <w:sz w:val="32"/>
          <w:szCs w:val="32"/>
          <w:lang w:val="en-US" w:eastAsia="zh-CN"/>
        </w:rPr>
        <w:t>《量子力学》考试是为福建师范大学招收</w:t>
      </w:r>
      <w:r>
        <w:rPr>
          <w:rFonts w:hint="eastAsia" w:ascii="仿宋_GB2312" w:hAnsi="Arial" w:eastAsia="仿宋_GB2312" w:cs="Arial"/>
          <w:sz w:val="32"/>
          <w:szCs w:val="32"/>
        </w:rPr>
        <w:t>理论物理、凝聚态物理、能源与材料物理、</w:t>
      </w:r>
      <w:r>
        <w:rPr>
          <w:rFonts w:hint="eastAsia" w:ascii="仿宋_GB2312" w:hAnsi="Arial" w:eastAsia="仿宋_GB2312" w:cs="Arial"/>
          <w:sz w:val="32"/>
          <w:szCs w:val="32"/>
          <w:lang w:val="en-US" w:eastAsia="zh-CN"/>
        </w:rPr>
        <w:t>光学</w:t>
      </w:r>
      <w:r>
        <w:rPr>
          <w:rFonts w:hint="eastAsia" w:ascii="仿宋_GB2312" w:hAnsi="Arial" w:eastAsia="仿宋_GB2312" w:cs="Arial"/>
          <w:sz w:val="32"/>
          <w:szCs w:val="32"/>
        </w:rPr>
        <w:t>等</w:t>
      </w:r>
      <w:r>
        <w:rPr>
          <w:rFonts w:hint="eastAsia" w:ascii="仿宋_GB2312" w:hAnsi="Arial" w:eastAsia="仿宋_GB2312" w:cs="Arial"/>
          <w:sz w:val="32"/>
          <w:szCs w:val="32"/>
          <w:lang w:val="en-US" w:eastAsia="zh-CN"/>
        </w:rPr>
        <w:t>硕士</w:t>
      </w:r>
      <w:r>
        <w:rPr>
          <w:rFonts w:hint="eastAsia" w:ascii="仿宋_GB2312" w:hAnsi="Arial" w:eastAsia="仿宋_GB2312" w:cs="Arial"/>
          <w:sz w:val="32"/>
          <w:szCs w:val="32"/>
        </w:rPr>
        <w:t>专业</w:t>
      </w:r>
      <w:r>
        <w:rPr>
          <w:rFonts w:hint="eastAsia" w:ascii="仿宋_GB2312" w:hAnsi="Arial" w:eastAsia="仿宋_GB2312" w:cs="Arial"/>
          <w:sz w:val="32"/>
          <w:szCs w:val="32"/>
          <w:lang w:val="en-US" w:eastAsia="zh-CN"/>
        </w:rPr>
        <w:t>研究生而设置的具有选拔性质的专业考试科目</w:t>
      </w:r>
      <w:r>
        <w:rPr>
          <w:rFonts w:hint="eastAsia" w:ascii="仿宋_GB2312" w:hAnsi="Arial" w:eastAsia="仿宋_GB2312" w:cs="Arial"/>
          <w:sz w:val="32"/>
          <w:szCs w:val="32"/>
          <w:lang w:eastAsia="zh-CN"/>
        </w:rPr>
        <w:t>。其目的是科学、公平、有效地测试考生是否具备攻读相关专业学位所必需的基本素质、一般能力和培养潜能，评价的标准是高等学校本科毕业生所能达到的及格或及格以上水平，确保专业学位硕士研究生的招生质量。</w:t>
      </w:r>
    </w:p>
    <w:p w14:paraId="477363F6">
      <w:pPr>
        <w:pStyle w:val="5"/>
        <w:numPr>
          <w:ilvl w:val="0"/>
          <w:numId w:val="1"/>
        </w:numPr>
        <w:shd w:val="clear" w:color="auto" w:fill="FAFAFA"/>
        <w:spacing w:before="0" w:beforeAutospacing="0" w:after="0" w:afterAutospacing="0" w:line="560" w:lineRule="exact"/>
        <w:ind w:left="0" w:firstLine="643" w:firstLineChars="200"/>
        <w:outlineLvl w:val="1"/>
        <w:rPr>
          <w:rStyle w:val="8"/>
          <w:rFonts w:ascii="黑体" w:hAnsi="黑体" w:eastAsia="黑体" w:cs="Arial"/>
          <w:sz w:val="32"/>
          <w:szCs w:val="32"/>
        </w:rPr>
      </w:pPr>
      <w:r>
        <w:rPr>
          <w:rStyle w:val="8"/>
          <w:rFonts w:hint="eastAsia" w:ascii="黑体" w:hAnsi="黑体" w:eastAsia="黑体" w:cs="Arial"/>
          <w:sz w:val="32"/>
          <w:szCs w:val="32"/>
        </w:rPr>
        <w:t>考查目标</w:t>
      </w:r>
    </w:p>
    <w:p w14:paraId="537E9E32">
      <w:pPr>
        <w:pStyle w:val="5"/>
        <w:shd w:val="clear" w:color="auto" w:fill="FAFAFA"/>
        <w:spacing w:before="0" w:beforeAutospacing="0" w:after="0" w:afterAutospacing="0" w:line="560" w:lineRule="exact"/>
        <w:ind w:firstLine="640" w:firstLineChars="200"/>
        <w:rPr>
          <w:rFonts w:hint="eastAsia" w:ascii="仿宋_GB2312" w:hAnsi="Arial" w:eastAsia="仿宋_GB2312" w:cs="Arial"/>
          <w:sz w:val="32"/>
          <w:szCs w:val="32"/>
        </w:rPr>
      </w:pPr>
      <w:r>
        <w:rPr>
          <w:rFonts w:hint="eastAsia" w:ascii="仿宋_GB2312" w:hAnsi="Arial" w:eastAsia="仿宋_GB2312" w:cs="Arial"/>
          <w:sz w:val="32"/>
          <w:szCs w:val="32"/>
        </w:rPr>
        <w:t>重点考查考生掌握量子力学基本概念、基本原理以及运用量子力学基本理论解决具体相关物理问题的能力。</w:t>
      </w:r>
    </w:p>
    <w:p w14:paraId="1ADC3D02">
      <w:pPr>
        <w:pStyle w:val="5"/>
        <w:numPr>
          <w:ilvl w:val="0"/>
          <w:numId w:val="1"/>
        </w:numPr>
        <w:shd w:val="clear" w:color="auto" w:fill="FAFAFA"/>
        <w:spacing w:before="0" w:beforeAutospacing="0" w:after="0" w:afterAutospacing="0" w:line="560" w:lineRule="exact"/>
        <w:ind w:left="0" w:firstLine="643" w:firstLineChars="200"/>
        <w:outlineLvl w:val="1"/>
        <w:rPr>
          <w:rStyle w:val="8"/>
          <w:rFonts w:ascii="黑体" w:hAnsi="黑体" w:eastAsia="黑体" w:cs="Arial"/>
          <w:sz w:val="32"/>
          <w:szCs w:val="32"/>
        </w:rPr>
      </w:pPr>
      <w:r>
        <w:rPr>
          <w:rStyle w:val="8"/>
          <w:rFonts w:hint="eastAsia" w:ascii="黑体" w:hAnsi="黑体" w:eastAsia="黑体" w:cs="Arial"/>
          <w:sz w:val="32"/>
          <w:szCs w:val="32"/>
        </w:rPr>
        <w:t>考试形式和试卷结构</w:t>
      </w:r>
    </w:p>
    <w:p w14:paraId="6D55E2A2">
      <w:pPr>
        <w:pStyle w:val="5"/>
        <w:shd w:val="clear" w:color="auto" w:fill="FAFAFA"/>
        <w:spacing w:before="0" w:beforeAutospacing="0" w:after="0" w:afterAutospacing="0" w:line="560" w:lineRule="exact"/>
        <w:ind w:firstLine="643" w:firstLineChars="200"/>
        <w:rPr>
          <w:rFonts w:hint="eastAsia" w:ascii="仿宋_GB2312" w:hAnsi="Arial" w:eastAsia="仿宋_GB2312" w:cs="Arial"/>
          <w:sz w:val="32"/>
          <w:szCs w:val="32"/>
        </w:rPr>
      </w:pPr>
      <w:r>
        <w:rPr>
          <w:rStyle w:val="8"/>
          <w:rFonts w:hint="eastAsia" w:ascii="仿宋_GB2312" w:hAnsi="Arial" w:eastAsia="仿宋_GB2312" w:cs="Arial"/>
          <w:sz w:val="32"/>
          <w:szCs w:val="32"/>
        </w:rPr>
        <w:t>（一）试卷满分及考试时间</w:t>
      </w:r>
    </w:p>
    <w:p w14:paraId="24EEF756">
      <w:pPr>
        <w:pStyle w:val="5"/>
        <w:shd w:val="clear" w:color="auto" w:fill="FAFAFA"/>
        <w:spacing w:before="0" w:beforeAutospacing="0" w:after="0" w:afterAutospacing="0" w:line="560" w:lineRule="exact"/>
        <w:ind w:firstLine="640" w:firstLineChars="200"/>
        <w:rPr>
          <w:rFonts w:hint="eastAsia" w:ascii="仿宋_GB2312" w:hAnsi="Arial" w:eastAsia="仿宋_GB2312" w:cs="Arial"/>
          <w:sz w:val="32"/>
          <w:szCs w:val="32"/>
        </w:rPr>
      </w:pPr>
      <w:r>
        <w:rPr>
          <w:rFonts w:hint="eastAsia" w:ascii="仿宋_GB2312" w:hAnsi="Arial" w:eastAsia="仿宋_GB2312" w:cs="Arial"/>
          <w:sz w:val="32"/>
          <w:szCs w:val="32"/>
        </w:rPr>
        <w:t>试卷满分为150分，考试时间为180分钟。</w:t>
      </w:r>
    </w:p>
    <w:p w14:paraId="11FF3295">
      <w:pPr>
        <w:pStyle w:val="5"/>
        <w:shd w:val="clear" w:color="auto" w:fill="FAFAFA"/>
        <w:spacing w:before="0" w:beforeAutospacing="0" w:after="0" w:afterAutospacing="0" w:line="560" w:lineRule="exact"/>
        <w:ind w:firstLine="643" w:firstLineChars="200"/>
        <w:rPr>
          <w:rFonts w:hint="eastAsia" w:ascii="仿宋_GB2312" w:hAnsi="Arial" w:eastAsia="仿宋_GB2312" w:cs="Arial"/>
          <w:sz w:val="32"/>
          <w:szCs w:val="32"/>
        </w:rPr>
      </w:pPr>
      <w:r>
        <w:rPr>
          <w:rStyle w:val="8"/>
          <w:rFonts w:hint="eastAsia" w:ascii="仿宋_GB2312" w:hAnsi="Arial" w:eastAsia="仿宋_GB2312" w:cs="Arial"/>
          <w:sz w:val="32"/>
          <w:szCs w:val="32"/>
        </w:rPr>
        <w:t>（二）答题方式</w:t>
      </w:r>
    </w:p>
    <w:p w14:paraId="0193D23A">
      <w:pPr>
        <w:pStyle w:val="5"/>
        <w:shd w:val="clear" w:color="auto" w:fill="FAFAFA"/>
        <w:spacing w:before="0" w:beforeAutospacing="0" w:after="0" w:afterAutospacing="0" w:line="560" w:lineRule="exact"/>
        <w:ind w:firstLine="640" w:firstLineChars="200"/>
        <w:rPr>
          <w:rFonts w:hint="eastAsia" w:ascii="仿宋_GB2312" w:hAnsi="Arial" w:eastAsia="仿宋_GB2312" w:cs="Arial"/>
          <w:sz w:val="32"/>
          <w:szCs w:val="32"/>
        </w:rPr>
      </w:pPr>
      <w:r>
        <w:rPr>
          <w:rFonts w:hint="eastAsia" w:ascii="仿宋_GB2312" w:hAnsi="Arial" w:eastAsia="仿宋_GB2312" w:cs="Arial"/>
          <w:sz w:val="32"/>
          <w:szCs w:val="32"/>
        </w:rPr>
        <w:t>答题方式为闭卷、笔试。不允许使用计算器。</w:t>
      </w:r>
    </w:p>
    <w:p w14:paraId="086CE353">
      <w:pPr>
        <w:pStyle w:val="5"/>
        <w:shd w:val="clear" w:color="auto" w:fill="FAFAFA"/>
        <w:spacing w:before="0" w:beforeAutospacing="0" w:after="0" w:afterAutospacing="0" w:line="560" w:lineRule="exact"/>
        <w:ind w:firstLine="643" w:firstLineChars="200"/>
        <w:rPr>
          <w:rFonts w:hint="eastAsia" w:ascii="仿宋_GB2312" w:hAnsi="Arial" w:eastAsia="仿宋_GB2312" w:cs="Arial"/>
          <w:sz w:val="32"/>
          <w:szCs w:val="32"/>
        </w:rPr>
      </w:pPr>
      <w:r>
        <w:rPr>
          <w:rStyle w:val="8"/>
          <w:rFonts w:hint="eastAsia" w:ascii="仿宋_GB2312" w:hAnsi="Arial" w:eastAsia="仿宋_GB2312" w:cs="Arial"/>
          <w:sz w:val="32"/>
          <w:szCs w:val="32"/>
        </w:rPr>
        <w:t>（三）试卷包含内容</w:t>
      </w:r>
    </w:p>
    <w:p w14:paraId="4A845D25">
      <w:pPr>
        <w:pStyle w:val="5"/>
        <w:shd w:val="clear" w:color="auto" w:fill="FAFAFA"/>
        <w:spacing w:before="0" w:beforeAutospacing="0" w:after="0" w:afterAutospacing="0" w:line="560" w:lineRule="exact"/>
        <w:ind w:firstLine="640" w:firstLineChars="200"/>
        <w:rPr>
          <w:rFonts w:hint="eastAsia" w:ascii="仿宋_GB2312" w:hAnsi="Arial" w:eastAsia="仿宋_GB2312" w:cs="Arial"/>
          <w:sz w:val="32"/>
          <w:szCs w:val="32"/>
        </w:rPr>
      </w:pPr>
      <w:r>
        <w:rPr>
          <w:rFonts w:hint="eastAsia" w:ascii="仿宋_GB2312" w:hAnsi="Arial" w:eastAsia="仿宋_GB2312" w:cs="Arial"/>
          <w:sz w:val="32"/>
          <w:szCs w:val="32"/>
        </w:rPr>
        <w:t>简答题</w:t>
      </w:r>
      <w:r>
        <w:rPr>
          <w:rFonts w:hint="eastAsia" w:ascii="仿宋_GB2312" w:hAnsi="Arial" w:eastAsia="仿宋_GB2312" w:cs="Arial"/>
          <w:sz w:val="32"/>
          <w:szCs w:val="32"/>
          <w:lang w:eastAsia="zh-CN"/>
        </w:rPr>
        <w:t>：</w:t>
      </w:r>
      <w:r>
        <w:rPr>
          <w:rFonts w:hint="eastAsia" w:ascii="仿宋_GB2312" w:hAnsi="Arial" w:eastAsia="仿宋_GB2312" w:cs="Arial"/>
          <w:sz w:val="32"/>
          <w:szCs w:val="32"/>
        </w:rPr>
        <w:t>2小题，每小题10分，共20分</w:t>
      </w:r>
    </w:p>
    <w:p w14:paraId="03576938">
      <w:pPr>
        <w:pStyle w:val="5"/>
        <w:shd w:val="clear" w:color="auto" w:fill="FAFAFA"/>
        <w:spacing w:before="0" w:beforeAutospacing="0" w:after="0" w:afterAutospacing="0" w:line="560" w:lineRule="exact"/>
        <w:ind w:firstLine="640" w:firstLineChars="200"/>
        <w:rPr>
          <w:rFonts w:hint="eastAsia" w:ascii="仿宋_GB2312" w:hAnsi="Arial" w:eastAsia="仿宋_GB2312" w:cs="Arial"/>
          <w:sz w:val="32"/>
          <w:szCs w:val="32"/>
        </w:rPr>
      </w:pPr>
      <w:r>
        <w:rPr>
          <w:rFonts w:hint="eastAsia" w:ascii="仿宋_GB2312" w:hAnsi="Arial" w:eastAsia="仿宋_GB2312" w:cs="Arial"/>
          <w:sz w:val="32"/>
          <w:szCs w:val="32"/>
        </w:rPr>
        <w:t>证明题</w:t>
      </w:r>
      <w:r>
        <w:rPr>
          <w:rFonts w:hint="eastAsia" w:ascii="仿宋_GB2312" w:hAnsi="Arial" w:eastAsia="仿宋_GB2312" w:cs="Arial"/>
          <w:sz w:val="32"/>
          <w:szCs w:val="32"/>
          <w:lang w:eastAsia="zh-CN"/>
        </w:rPr>
        <w:t>：</w:t>
      </w:r>
      <w:r>
        <w:rPr>
          <w:rFonts w:hint="eastAsia" w:ascii="仿宋_GB2312" w:hAnsi="Arial" w:eastAsia="仿宋_GB2312" w:cs="Arial"/>
          <w:sz w:val="32"/>
          <w:szCs w:val="32"/>
        </w:rPr>
        <w:t>2小题，每小题15分，共30分</w:t>
      </w:r>
    </w:p>
    <w:p w14:paraId="7620CA39">
      <w:pPr>
        <w:pStyle w:val="5"/>
        <w:shd w:val="clear" w:color="auto" w:fill="FAFAFA"/>
        <w:spacing w:before="0" w:beforeAutospacing="0" w:after="0" w:afterAutospacing="0" w:line="560" w:lineRule="exact"/>
        <w:ind w:firstLine="640" w:firstLineChars="200"/>
        <w:rPr>
          <w:rFonts w:hint="eastAsia" w:ascii="仿宋_GB2312" w:hAnsi="Arial" w:eastAsia="仿宋_GB2312" w:cs="Arial"/>
          <w:sz w:val="32"/>
          <w:szCs w:val="32"/>
        </w:rPr>
      </w:pPr>
      <w:r>
        <w:rPr>
          <w:rFonts w:hint="eastAsia" w:ascii="仿宋_GB2312" w:hAnsi="Arial" w:eastAsia="仿宋_GB2312" w:cs="Arial"/>
          <w:sz w:val="32"/>
          <w:szCs w:val="32"/>
        </w:rPr>
        <w:t>计算题</w:t>
      </w:r>
      <w:r>
        <w:rPr>
          <w:rFonts w:hint="eastAsia" w:ascii="仿宋_GB2312" w:hAnsi="Arial" w:eastAsia="仿宋_GB2312" w:cs="Arial"/>
          <w:sz w:val="32"/>
          <w:szCs w:val="32"/>
          <w:lang w:eastAsia="zh-CN"/>
        </w:rPr>
        <w:t>：</w:t>
      </w:r>
      <w:r>
        <w:rPr>
          <w:rFonts w:hint="eastAsia" w:ascii="仿宋_GB2312" w:hAnsi="Arial" w:eastAsia="仿宋_GB2312" w:cs="Arial"/>
          <w:sz w:val="32"/>
          <w:szCs w:val="32"/>
        </w:rPr>
        <w:t>4小题，每小题25分，共100分</w:t>
      </w:r>
    </w:p>
    <w:p w14:paraId="794160F9">
      <w:pPr>
        <w:pStyle w:val="5"/>
        <w:numPr>
          <w:ilvl w:val="0"/>
          <w:numId w:val="1"/>
        </w:numPr>
        <w:shd w:val="clear" w:color="auto" w:fill="FAFAFA"/>
        <w:spacing w:before="0" w:beforeAutospacing="0" w:after="0" w:afterAutospacing="0" w:line="560" w:lineRule="exact"/>
        <w:ind w:left="0" w:firstLine="643" w:firstLineChars="200"/>
        <w:outlineLvl w:val="1"/>
        <w:rPr>
          <w:rStyle w:val="8"/>
          <w:rFonts w:ascii="黑体" w:hAnsi="黑体" w:eastAsia="黑体" w:cs="Arial"/>
          <w:sz w:val="32"/>
          <w:szCs w:val="32"/>
        </w:rPr>
      </w:pPr>
      <w:r>
        <w:rPr>
          <w:rStyle w:val="8"/>
          <w:rFonts w:hint="eastAsia" w:ascii="黑体" w:hAnsi="黑体" w:eastAsia="黑体" w:cs="Arial"/>
          <w:sz w:val="32"/>
          <w:szCs w:val="32"/>
          <w:lang w:val="en-US" w:eastAsia="zh-CN"/>
        </w:rPr>
        <w:t>考查</w:t>
      </w:r>
      <w:r>
        <w:rPr>
          <w:rStyle w:val="8"/>
          <w:rFonts w:hint="eastAsia" w:ascii="黑体" w:hAnsi="黑体" w:eastAsia="黑体" w:cs="Arial"/>
          <w:sz w:val="32"/>
          <w:szCs w:val="32"/>
        </w:rPr>
        <w:t>内容</w:t>
      </w:r>
    </w:p>
    <w:p w14:paraId="1CEF0CB6">
      <w:pPr>
        <w:pStyle w:val="5"/>
        <w:shd w:val="clear" w:color="auto" w:fill="FAFAFA"/>
        <w:spacing w:before="0" w:beforeAutospacing="0" w:after="0" w:afterAutospacing="0" w:line="560" w:lineRule="exact"/>
        <w:ind w:firstLine="640" w:firstLineChars="200"/>
        <w:rPr>
          <w:rFonts w:hint="eastAsia" w:ascii="仿宋_GB2312" w:hAnsi="Arial" w:eastAsia="仿宋_GB2312" w:cs="Arial"/>
          <w:sz w:val="32"/>
          <w:szCs w:val="32"/>
        </w:rPr>
      </w:pPr>
      <w:r>
        <w:rPr>
          <w:rFonts w:hint="eastAsia" w:ascii="仿宋_GB2312" w:hAnsi="Arial" w:eastAsia="仿宋_GB2312" w:cs="Arial"/>
          <w:sz w:val="32"/>
          <w:szCs w:val="32"/>
          <w:lang w:val="en-US" w:eastAsia="zh-CN"/>
        </w:rPr>
        <w:t>（一）</w:t>
      </w:r>
      <w:r>
        <w:rPr>
          <w:rFonts w:hint="eastAsia" w:ascii="仿宋_GB2312" w:hAnsi="Arial" w:eastAsia="仿宋_GB2312" w:cs="Arial"/>
          <w:sz w:val="32"/>
          <w:szCs w:val="32"/>
        </w:rPr>
        <w:t>波粒二象性、波函数和薛定谔方程</w:t>
      </w:r>
    </w:p>
    <w:p w14:paraId="3E2AF980">
      <w:pPr>
        <w:pStyle w:val="5"/>
        <w:shd w:val="clear" w:color="auto" w:fill="FAFAFA"/>
        <w:spacing w:before="0" w:beforeAutospacing="0" w:after="0" w:afterAutospacing="0" w:line="560" w:lineRule="exact"/>
        <w:ind w:firstLine="640" w:firstLineChars="200"/>
        <w:rPr>
          <w:rFonts w:hint="eastAsia" w:ascii="仿宋_GB2312" w:hAnsi="Arial" w:eastAsia="仿宋_GB2312" w:cs="Arial"/>
          <w:sz w:val="32"/>
          <w:szCs w:val="32"/>
        </w:rPr>
      </w:pPr>
      <w:r>
        <w:rPr>
          <w:rFonts w:hint="eastAsia" w:ascii="仿宋_GB2312" w:hAnsi="Arial" w:eastAsia="仿宋_GB2312" w:cs="Arial"/>
          <w:sz w:val="32"/>
          <w:szCs w:val="32"/>
        </w:rPr>
        <w:t>考查主要内容：</w:t>
      </w:r>
    </w:p>
    <w:p w14:paraId="4BFCC3C9">
      <w:pPr>
        <w:pStyle w:val="5"/>
        <w:shd w:val="clear" w:color="auto" w:fill="FAFAFA"/>
        <w:spacing w:before="0" w:beforeAutospacing="0" w:after="0" w:afterAutospacing="0" w:line="560" w:lineRule="exact"/>
        <w:ind w:firstLine="640" w:firstLineChars="200"/>
        <w:rPr>
          <w:rFonts w:hint="eastAsia" w:ascii="仿宋_GB2312" w:hAnsi="Arial" w:eastAsia="仿宋_GB2312" w:cs="Arial"/>
          <w:sz w:val="32"/>
          <w:szCs w:val="32"/>
        </w:rPr>
      </w:pPr>
      <w:r>
        <w:rPr>
          <w:rFonts w:hint="eastAsia" w:ascii="仿宋_GB2312" w:hAnsi="Arial" w:eastAsia="仿宋_GB2312" w:cs="Arial"/>
          <w:sz w:val="32"/>
          <w:szCs w:val="32"/>
        </w:rPr>
        <w:t>（1）光的波粒二象性的实验事实及其解释。</w:t>
      </w:r>
    </w:p>
    <w:p w14:paraId="5374162F">
      <w:pPr>
        <w:pStyle w:val="5"/>
        <w:shd w:val="clear" w:color="auto" w:fill="FAFAFA"/>
        <w:spacing w:before="0" w:beforeAutospacing="0" w:after="0" w:afterAutospacing="0" w:line="560" w:lineRule="exact"/>
        <w:ind w:firstLine="640" w:firstLineChars="200"/>
        <w:rPr>
          <w:rFonts w:hint="eastAsia" w:ascii="仿宋_GB2312" w:hAnsi="Arial" w:eastAsia="仿宋_GB2312" w:cs="Arial"/>
          <w:sz w:val="32"/>
          <w:szCs w:val="32"/>
        </w:rPr>
      </w:pPr>
      <w:r>
        <w:rPr>
          <w:rFonts w:hint="eastAsia" w:ascii="仿宋_GB2312" w:hAnsi="Arial" w:eastAsia="仿宋_GB2312" w:cs="Arial"/>
          <w:sz w:val="32"/>
          <w:szCs w:val="32"/>
        </w:rPr>
        <w:t>（2） 原子结构的玻尔理论和索末菲的量子化条件。</w:t>
      </w:r>
    </w:p>
    <w:p w14:paraId="7024E41B">
      <w:pPr>
        <w:pStyle w:val="5"/>
        <w:shd w:val="clear" w:color="auto" w:fill="FAFAFA"/>
        <w:spacing w:before="0" w:beforeAutospacing="0" w:after="0" w:afterAutospacing="0" w:line="560" w:lineRule="exact"/>
        <w:ind w:firstLine="640" w:firstLineChars="200"/>
        <w:rPr>
          <w:rFonts w:hint="eastAsia" w:ascii="仿宋_GB2312" w:hAnsi="Arial" w:eastAsia="仿宋_GB2312" w:cs="Arial"/>
          <w:sz w:val="32"/>
          <w:szCs w:val="32"/>
        </w:rPr>
      </w:pPr>
      <w:r>
        <w:rPr>
          <w:rFonts w:hint="eastAsia" w:ascii="仿宋_GB2312" w:hAnsi="Arial" w:eastAsia="仿宋_GB2312" w:cs="Arial"/>
          <w:sz w:val="32"/>
          <w:szCs w:val="32"/>
        </w:rPr>
        <w:t>（3）德布罗意关于微观粒子的波粒二象性的假设。</w:t>
      </w:r>
    </w:p>
    <w:p w14:paraId="60554842">
      <w:pPr>
        <w:pStyle w:val="5"/>
        <w:shd w:val="clear" w:color="auto" w:fill="FAFAFA"/>
        <w:spacing w:before="0" w:beforeAutospacing="0" w:after="0" w:afterAutospacing="0" w:line="560" w:lineRule="exact"/>
        <w:ind w:firstLine="640" w:firstLineChars="200"/>
        <w:rPr>
          <w:rFonts w:hint="eastAsia" w:ascii="仿宋_GB2312" w:hAnsi="Arial" w:eastAsia="仿宋_GB2312" w:cs="Arial"/>
          <w:sz w:val="32"/>
          <w:szCs w:val="32"/>
        </w:rPr>
      </w:pPr>
      <w:r>
        <w:rPr>
          <w:rFonts w:hint="eastAsia" w:ascii="仿宋_GB2312" w:hAnsi="Arial" w:eastAsia="仿宋_GB2312" w:cs="Arial"/>
          <w:sz w:val="32"/>
          <w:szCs w:val="32"/>
        </w:rPr>
        <w:t>（4）德布罗意波的实验验证。</w:t>
      </w:r>
    </w:p>
    <w:p w14:paraId="342F056C">
      <w:pPr>
        <w:pStyle w:val="5"/>
        <w:shd w:val="clear" w:color="auto" w:fill="FAFAFA"/>
        <w:spacing w:before="0" w:beforeAutospacing="0" w:after="0" w:afterAutospacing="0" w:line="560" w:lineRule="exact"/>
        <w:ind w:firstLine="640" w:firstLineChars="200"/>
        <w:rPr>
          <w:rFonts w:hint="eastAsia" w:ascii="仿宋_GB2312" w:hAnsi="Arial" w:eastAsia="仿宋_GB2312" w:cs="Arial"/>
          <w:sz w:val="32"/>
          <w:szCs w:val="32"/>
        </w:rPr>
      </w:pPr>
      <w:r>
        <w:rPr>
          <w:rFonts w:hint="eastAsia" w:ascii="仿宋_GB2312" w:hAnsi="Arial" w:eastAsia="仿宋_GB2312" w:cs="Arial"/>
          <w:sz w:val="32"/>
          <w:szCs w:val="32"/>
        </w:rPr>
        <w:t xml:space="preserve">（5）波函数的统计假设和量子态的表示形式。 </w:t>
      </w:r>
    </w:p>
    <w:p w14:paraId="2868C1D9">
      <w:pPr>
        <w:pStyle w:val="5"/>
        <w:shd w:val="clear" w:color="auto" w:fill="FAFAFA"/>
        <w:spacing w:before="0" w:beforeAutospacing="0" w:after="0" w:afterAutospacing="0" w:line="560" w:lineRule="exact"/>
        <w:ind w:firstLine="640" w:firstLineChars="200"/>
        <w:rPr>
          <w:rFonts w:hint="eastAsia" w:ascii="仿宋_GB2312" w:hAnsi="Arial" w:eastAsia="仿宋_GB2312" w:cs="Arial"/>
          <w:sz w:val="32"/>
          <w:szCs w:val="32"/>
        </w:rPr>
      </w:pPr>
      <w:r>
        <w:rPr>
          <w:rFonts w:hint="eastAsia" w:ascii="仿宋_GB2312" w:hAnsi="Arial" w:eastAsia="仿宋_GB2312" w:cs="Arial"/>
          <w:sz w:val="32"/>
          <w:szCs w:val="32"/>
        </w:rPr>
        <w:t xml:space="preserve">（6）态叠加原理的内容及其物理意义。 </w:t>
      </w:r>
    </w:p>
    <w:p w14:paraId="6DCED21E">
      <w:pPr>
        <w:pStyle w:val="5"/>
        <w:shd w:val="clear" w:color="auto" w:fill="FAFAFA"/>
        <w:spacing w:before="0" w:beforeAutospacing="0" w:after="0" w:afterAutospacing="0" w:line="560" w:lineRule="exact"/>
        <w:ind w:firstLine="640" w:firstLineChars="200"/>
        <w:rPr>
          <w:rFonts w:hint="eastAsia" w:ascii="仿宋_GB2312" w:hAnsi="Arial" w:eastAsia="仿宋_GB2312" w:cs="Arial"/>
          <w:sz w:val="32"/>
          <w:szCs w:val="32"/>
        </w:rPr>
      </w:pPr>
      <w:r>
        <w:rPr>
          <w:rFonts w:hint="eastAsia" w:ascii="仿宋_GB2312" w:hAnsi="Arial" w:eastAsia="仿宋_GB2312" w:cs="Arial"/>
          <w:sz w:val="32"/>
          <w:szCs w:val="32"/>
        </w:rPr>
        <w:t xml:space="preserve">（7） 薛定谔方程和定态薛定谔方程的一般形式。 </w:t>
      </w:r>
    </w:p>
    <w:p w14:paraId="766A0C34">
      <w:pPr>
        <w:pStyle w:val="5"/>
        <w:shd w:val="clear" w:color="auto" w:fill="FAFAFA"/>
        <w:spacing w:before="0" w:beforeAutospacing="0" w:after="0" w:afterAutospacing="0" w:line="560" w:lineRule="exact"/>
        <w:ind w:firstLine="640" w:firstLineChars="200"/>
        <w:rPr>
          <w:rFonts w:hint="eastAsia" w:ascii="仿宋_GB2312" w:hAnsi="Arial" w:eastAsia="仿宋_GB2312" w:cs="Arial"/>
          <w:sz w:val="32"/>
          <w:szCs w:val="32"/>
        </w:rPr>
      </w:pPr>
      <w:r>
        <w:rPr>
          <w:rFonts w:hint="eastAsia" w:ascii="仿宋_GB2312" w:hAnsi="Arial" w:eastAsia="仿宋_GB2312" w:cs="Arial"/>
          <w:sz w:val="32"/>
          <w:szCs w:val="32"/>
        </w:rPr>
        <w:t xml:space="preserve">（8） 粒子流密度的概念及粒子数守恒的物理内容。 </w:t>
      </w:r>
    </w:p>
    <w:p w14:paraId="5835CE7A">
      <w:pPr>
        <w:pStyle w:val="5"/>
        <w:shd w:val="clear" w:color="auto" w:fill="FAFAFA"/>
        <w:spacing w:before="0" w:beforeAutospacing="0" w:after="0" w:afterAutospacing="0" w:line="560" w:lineRule="exact"/>
        <w:ind w:firstLine="640" w:firstLineChars="200"/>
        <w:rPr>
          <w:rFonts w:hint="eastAsia" w:ascii="仿宋_GB2312" w:hAnsi="Arial" w:eastAsia="仿宋_GB2312" w:cs="Arial"/>
          <w:sz w:val="32"/>
          <w:szCs w:val="32"/>
        </w:rPr>
      </w:pPr>
      <w:r>
        <w:rPr>
          <w:rFonts w:hint="eastAsia" w:ascii="仿宋_GB2312" w:hAnsi="Arial" w:eastAsia="仿宋_GB2312" w:cs="Arial"/>
          <w:sz w:val="32"/>
          <w:szCs w:val="32"/>
        </w:rPr>
        <w:t>（9） 一维薛定谔方程求解的基本步骤和方法。</w:t>
      </w:r>
    </w:p>
    <w:p w14:paraId="402B1CA2">
      <w:pPr>
        <w:pStyle w:val="5"/>
        <w:shd w:val="clear" w:color="auto" w:fill="FAFAFA"/>
        <w:spacing w:before="0" w:beforeAutospacing="0" w:after="0" w:afterAutospacing="0" w:line="560" w:lineRule="exact"/>
        <w:ind w:firstLine="640" w:firstLineChars="200"/>
        <w:rPr>
          <w:rFonts w:hint="eastAsia" w:ascii="仿宋_GB2312" w:hAnsi="Arial" w:eastAsia="仿宋_GB2312" w:cs="Arial"/>
          <w:sz w:val="32"/>
          <w:szCs w:val="32"/>
        </w:rPr>
      </w:pPr>
      <w:r>
        <w:rPr>
          <w:rFonts w:hint="eastAsia" w:ascii="仿宋_GB2312" w:hAnsi="Arial" w:eastAsia="仿宋_GB2312" w:cs="Arial"/>
          <w:sz w:val="32"/>
          <w:szCs w:val="32"/>
        </w:rPr>
        <w:t>（10） 几个典型的一维定态问题：</w:t>
      </w:r>
    </w:p>
    <w:p w14:paraId="1267FCFF">
      <w:pPr>
        <w:pStyle w:val="5"/>
        <w:shd w:val="clear" w:color="auto" w:fill="FAFAFA"/>
        <w:spacing w:before="0" w:beforeAutospacing="0" w:after="0" w:afterAutospacing="0" w:line="560" w:lineRule="exact"/>
        <w:ind w:firstLine="640" w:firstLineChars="200"/>
        <w:rPr>
          <w:rFonts w:hint="eastAsia" w:ascii="仿宋_GB2312" w:hAnsi="Arial" w:eastAsia="仿宋_GB2312" w:cs="Arial"/>
          <w:sz w:val="32"/>
          <w:szCs w:val="32"/>
        </w:rPr>
      </w:pPr>
      <w:r>
        <w:rPr>
          <w:rFonts w:hint="eastAsia" w:ascii="仿宋_GB2312" w:hAnsi="Arial" w:eastAsia="仿宋_GB2312" w:cs="Arial"/>
          <w:sz w:val="32"/>
          <w:szCs w:val="32"/>
        </w:rPr>
        <w:t>a.一维无限深势阱；b.一维谐振子；c.一维方势垒；d.一维有限方势阱;e.</w:t>
      </w:r>
      <w:r>
        <w:rPr>
          <w:rFonts w:hint="eastAsia" w:ascii="仿宋_GB2312" w:hAnsi="Arial" w:eastAsia="仿宋_GB2312" w:cs="Arial"/>
          <w:sz w:val="32"/>
          <w:szCs w:val="32"/>
        </w:rPr>
        <w:object>
          <v:shape id="_x0000_i1025" o:spt="75" type="#_x0000_t75" style="height:13.95pt;width:11pt;" o:ole="t" filled="f" o:preferrelative="t" stroked="f" coordsize="21600,21600">
            <v:path/>
            <v:fill on="f" alignshape="1" focussize="0,0"/>
            <v:stroke on="f"/>
            <v:imagedata r:id="rId5" o:title=""/>
            <o:lock v:ext="edit" aspectratio="t"/>
            <w10:wrap type="none"/>
            <w10:anchorlock/>
          </v:shape>
          <o:OLEObject Type="Embed" ProgID="Equation.3" ShapeID="_x0000_i1025" DrawAspect="Content" ObjectID="_1468075725" r:id="rId4">
            <o:LockedField>false</o:LockedField>
          </o:OLEObject>
        </w:object>
      </w:r>
      <w:r>
        <w:rPr>
          <w:rFonts w:hint="eastAsia" w:ascii="仿宋_GB2312" w:hAnsi="Arial" w:eastAsia="仿宋_GB2312" w:cs="Arial"/>
          <w:sz w:val="32"/>
          <w:szCs w:val="32"/>
        </w:rPr>
        <w:t>势</w:t>
      </w:r>
      <w:r>
        <w:rPr>
          <w:rFonts w:hint="eastAsia" w:ascii="仿宋_GB2312" w:hAnsi="Arial" w:eastAsia="仿宋_GB2312" w:cs="Arial"/>
          <w:sz w:val="32"/>
          <w:szCs w:val="32"/>
          <w:lang w:val="en-US" w:eastAsia="zh-CN"/>
        </w:rPr>
        <w:t>;f.自由粒子</w:t>
      </w:r>
      <w:r>
        <w:rPr>
          <w:rFonts w:hint="eastAsia" w:ascii="仿宋_GB2312" w:hAnsi="Arial" w:eastAsia="仿宋_GB2312" w:cs="Arial"/>
          <w:sz w:val="32"/>
          <w:szCs w:val="32"/>
        </w:rPr>
        <w:t>。</w:t>
      </w:r>
    </w:p>
    <w:p w14:paraId="285E27BD">
      <w:pPr>
        <w:pStyle w:val="5"/>
        <w:shd w:val="clear" w:color="auto" w:fill="FAFAFA"/>
        <w:spacing w:before="0" w:beforeAutospacing="0" w:after="0" w:afterAutospacing="0" w:line="560" w:lineRule="exact"/>
        <w:ind w:firstLine="640" w:firstLineChars="200"/>
        <w:rPr>
          <w:rFonts w:hint="eastAsia" w:ascii="仿宋_GB2312" w:hAnsi="Arial" w:eastAsia="仿宋_GB2312" w:cs="Arial"/>
          <w:sz w:val="32"/>
          <w:szCs w:val="32"/>
        </w:rPr>
      </w:pPr>
      <w:r>
        <w:rPr>
          <w:rFonts w:hint="eastAsia" w:ascii="仿宋_GB2312" w:hAnsi="Arial" w:eastAsia="仿宋_GB2312" w:cs="Arial"/>
          <w:sz w:val="32"/>
          <w:szCs w:val="32"/>
          <w:lang w:val="en-US" w:eastAsia="zh-CN"/>
        </w:rPr>
        <w:t>（二）</w:t>
      </w:r>
      <w:r>
        <w:rPr>
          <w:rFonts w:hint="eastAsia" w:ascii="仿宋_GB2312" w:hAnsi="Arial" w:eastAsia="仿宋_GB2312" w:cs="Arial"/>
          <w:sz w:val="32"/>
          <w:szCs w:val="32"/>
        </w:rPr>
        <w:t>量子力学的力学量及其表象</w:t>
      </w:r>
    </w:p>
    <w:p w14:paraId="6DA0734B">
      <w:pPr>
        <w:pStyle w:val="5"/>
        <w:shd w:val="clear" w:color="auto" w:fill="FAFAFA"/>
        <w:spacing w:before="0" w:beforeAutospacing="0" w:after="0" w:afterAutospacing="0" w:line="560" w:lineRule="exact"/>
        <w:ind w:firstLine="640" w:firstLineChars="200"/>
        <w:rPr>
          <w:rFonts w:hint="eastAsia" w:ascii="仿宋_GB2312" w:hAnsi="Arial" w:eastAsia="仿宋_GB2312" w:cs="Arial"/>
          <w:sz w:val="32"/>
          <w:szCs w:val="32"/>
        </w:rPr>
      </w:pPr>
      <w:r>
        <w:rPr>
          <w:rFonts w:hint="eastAsia" w:ascii="仿宋_GB2312" w:hAnsi="Arial" w:eastAsia="仿宋_GB2312" w:cs="Arial"/>
          <w:sz w:val="32"/>
          <w:szCs w:val="32"/>
        </w:rPr>
        <w:t>考查主要内容：</w:t>
      </w:r>
    </w:p>
    <w:p w14:paraId="66083694">
      <w:pPr>
        <w:pStyle w:val="5"/>
        <w:shd w:val="clear" w:color="auto" w:fill="FAFAFA"/>
        <w:spacing w:before="0" w:beforeAutospacing="0" w:after="0" w:afterAutospacing="0" w:line="560" w:lineRule="exact"/>
        <w:ind w:firstLine="640" w:firstLineChars="200"/>
        <w:rPr>
          <w:rFonts w:hint="eastAsia" w:ascii="仿宋_GB2312" w:hAnsi="Arial" w:eastAsia="仿宋_GB2312" w:cs="Arial"/>
          <w:sz w:val="32"/>
          <w:szCs w:val="32"/>
        </w:rPr>
      </w:pPr>
      <w:r>
        <w:rPr>
          <w:rFonts w:hint="eastAsia" w:ascii="仿宋_GB2312" w:hAnsi="Arial" w:eastAsia="仿宋_GB2312" w:cs="Arial"/>
          <w:sz w:val="32"/>
          <w:szCs w:val="32"/>
        </w:rPr>
        <w:t>（1）动量算符的表示形式及其与坐标算符间的对易关系，动量算符本征函数的归一化。</w:t>
      </w:r>
    </w:p>
    <w:p w14:paraId="3329D56B">
      <w:pPr>
        <w:pStyle w:val="5"/>
        <w:shd w:val="clear" w:color="auto" w:fill="FAFAFA"/>
        <w:spacing w:before="0" w:beforeAutospacing="0" w:after="0" w:afterAutospacing="0" w:line="560" w:lineRule="exact"/>
        <w:ind w:firstLine="640" w:firstLineChars="200"/>
        <w:rPr>
          <w:rFonts w:hint="eastAsia" w:ascii="仿宋_GB2312" w:hAnsi="Arial" w:eastAsia="仿宋_GB2312" w:cs="Arial"/>
          <w:sz w:val="32"/>
          <w:szCs w:val="32"/>
        </w:rPr>
      </w:pPr>
      <w:r>
        <w:rPr>
          <w:rFonts w:hint="eastAsia" w:ascii="仿宋_GB2312" w:hAnsi="Arial" w:eastAsia="仿宋_GB2312" w:cs="Arial"/>
          <w:sz w:val="32"/>
          <w:szCs w:val="32"/>
        </w:rPr>
        <w:t>（2）角动量算符的表示形式及其</w:t>
      </w:r>
      <w:r>
        <w:rPr>
          <w:rFonts w:hint="eastAsia" w:ascii="仿宋_GB2312" w:hAnsi="Arial" w:eastAsia="仿宋_GB2312" w:cs="Arial"/>
          <w:sz w:val="32"/>
          <w:szCs w:val="32"/>
          <w:lang w:val="en-US" w:eastAsia="zh-CN"/>
        </w:rPr>
        <w:t>相</w:t>
      </w:r>
      <w:r>
        <w:rPr>
          <w:rFonts w:hint="eastAsia" w:ascii="仿宋_GB2312" w:hAnsi="Arial" w:eastAsia="仿宋_GB2312" w:cs="Arial"/>
          <w:sz w:val="32"/>
          <w:szCs w:val="32"/>
        </w:rPr>
        <w:t>关的对易关系，角动量算符</w:t>
      </w:r>
      <w:r>
        <w:rPr>
          <w:rFonts w:hint="eastAsia" w:ascii="仿宋_GB2312" w:hAnsi="Arial" w:eastAsia="仿宋_GB2312" w:cs="Arial"/>
          <w:sz w:val="32"/>
          <w:szCs w:val="32"/>
        </w:rPr>
        <w:object>
          <v:shape id="_x0000_i1026" o:spt="75" type="#_x0000_t75" style="height:16pt;width:13.95pt;" o:ole="t" filled="f" stroked="f" coordsize="21600,21600">
            <v:path/>
            <v:fill on="f" alignshape="1" focussize="0,0"/>
            <v:stroke on="f"/>
            <v:imagedata r:id="rId7" o:title=""/>
            <o:lock v:ext="edit" aspectratio="t"/>
            <w10:wrap type="none"/>
            <w10:anchorlock/>
          </v:shape>
          <o:OLEObject Type="Embed" ProgID="Equation.3" ShapeID="_x0000_i1026" DrawAspect="Content" ObjectID="_1468075726" r:id="rId6">
            <o:LockedField>false</o:LockedField>
          </o:OLEObject>
        </w:object>
      </w:r>
      <w:r>
        <w:rPr>
          <w:rFonts w:hint="eastAsia" w:ascii="仿宋_GB2312" w:hAnsi="Arial" w:eastAsia="仿宋_GB2312" w:cs="Arial"/>
          <w:sz w:val="32"/>
          <w:szCs w:val="32"/>
        </w:rPr>
        <w:t>和</w:t>
      </w:r>
      <w:r>
        <w:rPr>
          <w:rFonts w:hint="eastAsia" w:ascii="仿宋_GB2312" w:hAnsi="Arial" w:eastAsia="仿宋_GB2312" w:cs="Arial"/>
          <w:sz w:val="32"/>
          <w:szCs w:val="32"/>
        </w:rPr>
        <w:object>
          <v:shape id="_x0000_i1027" o:spt="75" type="#_x0000_t75" style="height:19pt;width:13.95pt;" o:ole="t" filled="f" stroked="f" coordsize="21600,21600">
            <v:path/>
            <v:fill on="f" alignshape="1" focussize="0,0"/>
            <v:stroke on="f"/>
            <v:imagedata r:id="rId9" o:title=""/>
            <o:lock v:ext="edit" aspectratio="t"/>
            <w10:wrap type="none"/>
            <w10:anchorlock/>
          </v:shape>
          <o:OLEObject Type="Embed" ProgID="Equation.3" ShapeID="_x0000_i1027" DrawAspect="Content" ObjectID="_1468075727" r:id="rId8">
            <o:LockedField>false</o:LockedField>
          </o:OLEObject>
        </w:object>
      </w:r>
      <w:r>
        <w:rPr>
          <w:rFonts w:hint="eastAsia" w:ascii="仿宋_GB2312" w:hAnsi="Arial" w:eastAsia="仿宋_GB2312" w:cs="Arial"/>
          <w:sz w:val="32"/>
          <w:szCs w:val="32"/>
        </w:rPr>
        <w:t>的共同本征函数及所对应的本征值。</w:t>
      </w:r>
    </w:p>
    <w:p w14:paraId="2C889BDD">
      <w:pPr>
        <w:pStyle w:val="5"/>
        <w:shd w:val="clear" w:color="auto" w:fill="FAFAFA"/>
        <w:spacing w:before="0" w:beforeAutospacing="0" w:after="0" w:afterAutospacing="0" w:line="560" w:lineRule="exact"/>
        <w:ind w:firstLine="640" w:firstLineChars="200"/>
        <w:rPr>
          <w:rFonts w:hint="eastAsia" w:ascii="仿宋_GB2312" w:hAnsi="Arial" w:eastAsia="仿宋_GB2312" w:cs="Arial"/>
          <w:sz w:val="32"/>
          <w:szCs w:val="32"/>
        </w:rPr>
      </w:pPr>
      <w:r>
        <w:rPr>
          <w:rFonts w:hint="eastAsia" w:ascii="仿宋_GB2312" w:hAnsi="Arial" w:eastAsia="仿宋_GB2312" w:cs="Arial"/>
          <w:sz w:val="32"/>
          <w:szCs w:val="32"/>
        </w:rPr>
        <w:t>（3）电子在固定的正点电荷库仑场中运动的定态薛定谔方程及其求解的基本步骤； 定态波函数的表示形式；束缚态的能级及其简并度；并由此讨论氢原子的能级、光谱线的规律、电子在核外的概率分布和电离能等。</w:t>
      </w:r>
    </w:p>
    <w:p w14:paraId="0A651BD8">
      <w:pPr>
        <w:pStyle w:val="5"/>
        <w:shd w:val="clear" w:color="auto" w:fill="FAFAFA"/>
        <w:spacing w:before="0" w:beforeAutospacing="0" w:after="0" w:afterAutospacing="0" w:line="560" w:lineRule="exact"/>
        <w:ind w:firstLine="640" w:firstLineChars="200"/>
        <w:rPr>
          <w:rFonts w:hint="eastAsia" w:ascii="仿宋_GB2312" w:hAnsi="Arial" w:eastAsia="仿宋_GB2312" w:cs="Arial"/>
          <w:sz w:val="32"/>
          <w:szCs w:val="32"/>
        </w:rPr>
      </w:pPr>
      <w:r>
        <w:rPr>
          <w:rFonts w:hint="eastAsia" w:ascii="仿宋_GB2312" w:hAnsi="Arial" w:eastAsia="仿宋_GB2312" w:cs="Arial"/>
          <w:sz w:val="32"/>
          <w:szCs w:val="32"/>
        </w:rPr>
        <w:t xml:space="preserve">（4）量子力学中的力学量与厄米算符相对应；厄米算符的本征函数组成正交完备集。 </w:t>
      </w:r>
    </w:p>
    <w:p w14:paraId="4869AE63">
      <w:pPr>
        <w:pStyle w:val="5"/>
        <w:shd w:val="clear" w:color="auto" w:fill="FAFAFA"/>
        <w:spacing w:before="0" w:beforeAutospacing="0" w:after="0" w:afterAutospacing="0" w:line="560" w:lineRule="exact"/>
        <w:ind w:firstLine="640" w:firstLineChars="200"/>
        <w:rPr>
          <w:rFonts w:hint="eastAsia" w:ascii="仿宋_GB2312" w:hAnsi="Arial" w:eastAsia="仿宋_GB2312" w:cs="Arial"/>
          <w:sz w:val="32"/>
          <w:szCs w:val="32"/>
        </w:rPr>
      </w:pPr>
      <w:r>
        <w:rPr>
          <w:rFonts w:hint="eastAsia" w:ascii="仿宋_GB2312" w:hAnsi="Arial" w:eastAsia="仿宋_GB2312" w:cs="Arial"/>
          <w:sz w:val="32"/>
          <w:szCs w:val="32"/>
        </w:rPr>
        <w:t>（5）力学量可能值、平均值的计算方法，两个力学量同时具有确定值的条件。</w:t>
      </w:r>
    </w:p>
    <w:p w14:paraId="1D59608B">
      <w:pPr>
        <w:pStyle w:val="5"/>
        <w:shd w:val="clear" w:color="auto" w:fill="FAFAFA"/>
        <w:spacing w:before="0" w:beforeAutospacing="0" w:after="0" w:afterAutospacing="0" w:line="560" w:lineRule="exact"/>
        <w:ind w:firstLine="640" w:firstLineChars="200"/>
        <w:rPr>
          <w:rFonts w:hint="eastAsia" w:ascii="仿宋_GB2312" w:hAnsi="Arial" w:eastAsia="仿宋_GB2312" w:cs="Arial"/>
          <w:sz w:val="32"/>
          <w:szCs w:val="32"/>
        </w:rPr>
      </w:pPr>
      <w:r>
        <w:rPr>
          <w:rFonts w:hint="eastAsia" w:ascii="仿宋_GB2312" w:hAnsi="Arial" w:eastAsia="仿宋_GB2312" w:cs="Arial"/>
          <w:sz w:val="32"/>
          <w:szCs w:val="32"/>
        </w:rPr>
        <w:t>（6）不确定关系及其应用，守恒量的判断方法。</w:t>
      </w:r>
    </w:p>
    <w:p w14:paraId="791F33F7">
      <w:pPr>
        <w:pStyle w:val="5"/>
        <w:shd w:val="clear" w:color="auto" w:fill="FAFAFA"/>
        <w:spacing w:before="0" w:beforeAutospacing="0" w:after="0" w:afterAutospacing="0" w:line="560" w:lineRule="exact"/>
        <w:ind w:firstLine="640" w:firstLineChars="200"/>
        <w:rPr>
          <w:rFonts w:hint="eastAsia" w:ascii="仿宋_GB2312" w:hAnsi="Arial" w:eastAsia="仿宋_GB2312" w:cs="Arial"/>
          <w:sz w:val="32"/>
          <w:szCs w:val="32"/>
        </w:rPr>
      </w:pPr>
      <w:r>
        <w:rPr>
          <w:rFonts w:hint="eastAsia" w:ascii="仿宋_GB2312" w:hAnsi="Arial" w:eastAsia="仿宋_GB2312" w:cs="Arial"/>
          <w:sz w:val="32"/>
          <w:szCs w:val="32"/>
        </w:rPr>
        <w:t xml:space="preserve">（7）矩阵的运算。 </w:t>
      </w:r>
    </w:p>
    <w:p w14:paraId="648A504A">
      <w:pPr>
        <w:pStyle w:val="5"/>
        <w:shd w:val="clear" w:color="auto" w:fill="FAFAFA"/>
        <w:spacing w:before="0" w:beforeAutospacing="0" w:after="0" w:afterAutospacing="0" w:line="560" w:lineRule="exact"/>
        <w:ind w:firstLine="640" w:firstLineChars="200"/>
        <w:rPr>
          <w:rFonts w:hint="eastAsia" w:ascii="仿宋_GB2312" w:hAnsi="Arial" w:eastAsia="仿宋_GB2312" w:cs="Arial"/>
          <w:sz w:val="32"/>
          <w:szCs w:val="32"/>
        </w:rPr>
      </w:pPr>
      <w:r>
        <w:rPr>
          <w:rFonts w:hint="eastAsia" w:ascii="仿宋_GB2312" w:hAnsi="Arial" w:eastAsia="仿宋_GB2312" w:cs="Arial"/>
          <w:sz w:val="32"/>
          <w:szCs w:val="32"/>
        </w:rPr>
        <w:t>（8）态的矩阵表示。</w:t>
      </w:r>
    </w:p>
    <w:p w14:paraId="300E9E20">
      <w:pPr>
        <w:pStyle w:val="5"/>
        <w:shd w:val="clear" w:color="auto" w:fill="FAFAFA"/>
        <w:spacing w:before="0" w:beforeAutospacing="0" w:after="0" w:afterAutospacing="0" w:line="560" w:lineRule="exact"/>
        <w:ind w:firstLine="640" w:firstLineChars="200"/>
        <w:rPr>
          <w:rFonts w:hint="eastAsia" w:ascii="仿宋_GB2312" w:hAnsi="Arial" w:eastAsia="仿宋_GB2312" w:cs="Arial"/>
          <w:sz w:val="32"/>
          <w:szCs w:val="32"/>
        </w:rPr>
      </w:pPr>
      <w:r>
        <w:rPr>
          <w:rFonts w:hint="eastAsia" w:ascii="仿宋_GB2312" w:hAnsi="Arial" w:eastAsia="仿宋_GB2312" w:cs="Arial"/>
          <w:sz w:val="32"/>
          <w:szCs w:val="32"/>
        </w:rPr>
        <w:t>（9）算符的矩阵表示。</w:t>
      </w:r>
    </w:p>
    <w:p w14:paraId="0FD1E17E">
      <w:pPr>
        <w:pStyle w:val="5"/>
        <w:shd w:val="clear" w:color="auto" w:fill="FAFAFA"/>
        <w:spacing w:before="0" w:beforeAutospacing="0" w:after="0" w:afterAutospacing="0" w:line="560" w:lineRule="exact"/>
        <w:ind w:firstLine="640" w:firstLineChars="200"/>
        <w:rPr>
          <w:rFonts w:hint="eastAsia" w:ascii="仿宋_GB2312" w:hAnsi="Arial" w:eastAsia="仿宋_GB2312" w:cs="Arial"/>
          <w:sz w:val="32"/>
          <w:szCs w:val="32"/>
        </w:rPr>
      </w:pPr>
      <w:r>
        <w:rPr>
          <w:rFonts w:hint="eastAsia" w:ascii="仿宋_GB2312" w:hAnsi="Arial" w:eastAsia="仿宋_GB2312" w:cs="Arial"/>
          <w:sz w:val="32"/>
          <w:szCs w:val="32"/>
        </w:rPr>
        <w:t>（10）量子力学公式的矩阵表示。</w:t>
      </w:r>
    </w:p>
    <w:p w14:paraId="0A27799E">
      <w:pPr>
        <w:pStyle w:val="5"/>
        <w:shd w:val="clear" w:color="auto" w:fill="FAFAFA"/>
        <w:spacing w:before="0" w:beforeAutospacing="0" w:after="0" w:afterAutospacing="0" w:line="560" w:lineRule="exact"/>
        <w:ind w:firstLine="640" w:firstLineChars="200"/>
        <w:rPr>
          <w:rFonts w:hint="eastAsia" w:ascii="仿宋_GB2312" w:hAnsi="Arial" w:eastAsia="仿宋_GB2312" w:cs="Arial"/>
          <w:sz w:val="32"/>
          <w:szCs w:val="32"/>
        </w:rPr>
      </w:pPr>
      <w:r>
        <w:rPr>
          <w:rFonts w:hint="eastAsia" w:ascii="仿宋_GB2312" w:hAnsi="Arial" w:eastAsia="仿宋_GB2312" w:cs="Arial"/>
          <w:sz w:val="32"/>
          <w:szCs w:val="32"/>
        </w:rPr>
        <w:t>（11）不同表象间的变换。</w:t>
      </w:r>
    </w:p>
    <w:p w14:paraId="1A8D157C">
      <w:pPr>
        <w:pStyle w:val="5"/>
        <w:shd w:val="clear" w:color="auto" w:fill="FAFAFA"/>
        <w:spacing w:before="0" w:beforeAutospacing="0" w:after="0" w:afterAutospacing="0" w:line="560" w:lineRule="exact"/>
        <w:ind w:firstLine="640" w:firstLineChars="200"/>
        <w:rPr>
          <w:rFonts w:hint="eastAsia" w:ascii="仿宋_GB2312" w:hAnsi="Arial" w:eastAsia="仿宋_GB2312" w:cs="Arial"/>
          <w:sz w:val="32"/>
          <w:szCs w:val="32"/>
        </w:rPr>
      </w:pPr>
      <w:r>
        <w:rPr>
          <w:rFonts w:hint="eastAsia" w:ascii="仿宋_GB2312" w:hAnsi="Arial" w:eastAsia="仿宋_GB2312" w:cs="Arial"/>
          <w:sz w:val="32"/>
          <w:szCs w:val="32"/>
        </w:rPr>
        <w:t>（12）Dirac符号</w:t>
      </w:r>
    </w:p>
    <w:p w14:paraId="1140A06E">
      <w:pPr>
        <w:pStyle w:val="5"/>
        <w:shd w:val="clear" w:color="auto" w:fill="FAFAFA"/>
        <w:spacing w:before="0" w:beforeAutospacing="0" w:after="0" w:afterAutospacing="0" w:line="560" w:lineRule="exact"/>
        <w:ind w:firstLine="640" w:firstLineChars="200"/>
        <w:rPr>
          <w:rFonts w:hint="eastAsia" w:ascii="仿宋_GB2312" w:hAnsi="Arial" w:eastAsia="仿宋_GB2312" w:cs="Arial"/>
          <w:sz w:val="32"/>
          <w:szCs w:val="32"/>
        </w:rPr>
      </w:pPr>
      <w:r>
        <w:rPr>
          <w:rFonts w:hint="eastAsia" w:ascii="仿宋_GB2312" w:hAnsi="Arial" w:eastAsia="仿宋_GB2312" w:cs="Arial"/>
          <w:sz w:val="32"/>
          <w:szCs w:val="32"/>
          <w:lang w:val="en-US" w:eastAsia="zh-CN"/>
        </w:rPr>
        <w:t>（三）</w:t>
      </w:r>
      <w:r>
        <w:rPr>
          <w:rFonts w:hint="eastAsia" w:ascii="仿宋_GB2312" w:hAnsi="Arial" w:eastAsia="仿宋_GB2312" w:cs="Arial"/>
          <w:sz w:val="32"/>
          <w:szCs w:val="32"/>
        </w:rPr>
        <w:t>微扰理论、自旋与全同粒子、粒子在电磁场中的运动</w:t>
      </w:r>
    </w:p>
    <w:p w14:paraId="581FD6BC">
      <w:pPr>
        <w:pStyle w:val="5"/>
        <w:shd w:val="clear" w:color="auto" w:fill="FAFAFA"/>
        <w:spacing w:before="0" w:beforeAutospacing="0" w:after="0" w:afterAutospacing="0" w:line="560" w:lineRule="exact"/>
        <w:ind w:firstLine="640" w:firstLineChars="200"/>
        <w:rPr>
          <w:rFonts w:hint="eastAsia" w:ascii="仿宋_GB2312" w:hAnsi="Arial" w:eastAsia="仿宋_GB2312" w:cs="Arial"/>
          <w:sz w:val="32"/>
          <w:szCs w:val="32"/>
        </w:rPr>
      </w:pPr>
      <w:r>
        <w:rPr>
          <w:rFonts w:hint="eastAsia" w:ascii="仿宋_GB2312" w:hAnsi="Arial" w:eastAsia="仿宋_GB2312" w:cs="Arial"/>
          <w:sz w:val="32"/>
          <w:szCs w:val="32"/>
        </w:rPr>
        <w:t>考查主要内容：</w:t>
      </w:r>
    </w:p>
    <w:p w14:paraId="64F7F07C">
      <w:pPr>
        <w:pStyle w:val="5"/>
        <w:shd w:val="clear" w:color="auto" w:fill="FAFAFA"/>
        <w:spacing w:before="0" w:beforeAutospacing="0" w:after="0" w:afterAutospacing="0" w:line="560" w:lineRule="exact"/>
        <w:ind w:firstLine="640" w:firstLineChars="200"/>
        <w:rPr>
          <w:rFonts w:hint="eastAsia" w:ascii="仿宋_GB2312" w:hAnsi="Arial" w:eastAsia="仿宋_GB2312" w:cs="Arial"/>
          <w:sz w:val="32"/>
          <w:szCs w:val="32"/>
        </w:rPr>
      </w:pPr>
      <w:r>
        <w:rPr>
          <w:rFonts w:hint="eastAsia" w:ascii="仿宋_GB2312" w:hAnsi="Arial" w:eastAsia="仿宋_GB2312" w:cs="Arial"/>
          <w:sz w:val="32"/>
          <w:szCs w:val="32"/>
        </w:rPr>
        <w:t>（1）非简并定态微扰理论。</w:t>
      </w:r>
    </w:p>
    <w:p w14:paraId="44E4340D">
      <w:pPr>
        <w:pStyle w:val="5"/>
        <w:shd w:val="clear" w:color="auto" w:fill="FAFAFA"/>
        <w:spacing w:before="0" w:beforeAutospacing="0" w:after="0" w:afterAutospacing="0" w:line="560" w:lineRule="exact"/>
        <w:ind w:firstLine="640" w:firstLineChars="200"/>
        <w:rPr>
          <w:rFonts w:hint="eastAsia" w:ascii="仿宋_GB2312" w:hAnsi="Arial" w:eastAsia="仿宋_GB2312" w:cs="Arial"/>
          <w:sz w:val="32"/>
          <w:szCs w:val="32"/>
        </w:rPr>
      </w:pPr>
      <w:r>
        <w:rPr>
          <w:rFonts w:hint="eastAsia" w:ascii="仿宋_GB2312" w:hAnsi="Arial" w:eastAsia="仿宋_GB2312" w:cs="Arial"/>
          <w:sz w:val="32"/>
          <w:szCs w:val="32"/>
        </w:rPr>
        <w:t>（2）简并情况下的定态微扰理论。</w:t>
      </w:r>
    </w:p>
    <w:p w14:paraId="1D6BD2E1">
      <w:pPr>
        <w:pStyle w:val="5"/>
        <w:shd w:val="clear" w:color="auto" w:fill="FAFAFA"/>
        <w:spacing w:before="0" w:beforeAutospacing="0" w:after="0" w:afterAutospacing="0" w:line="560" w:lineRule="exact"/>
        <w:ind w:firstLine="640" w:firstLineChars="200"/>
        <w:rPr>
          <w:rFonts w:hint="eastAsia" w:ascii="仿宋_GB2312" w:hAnsi="Arial" w:eastAsia="仿宋_GB2312" w:cs="Arial"/>
          <w:sz w:val="32"/>
          <w:szCs w:val="32"/>
        </w:rPr>
      </w:pPr>
      <w:r>
        <w:rPr>
          <w:rFonts w:hint="eastAsia" w:ascii="仿宋_GB2312" w:hAnsi="Arial" w:eastAsia="仿宋_GB2312" w:cs="Arial"/>
          <w:sz w:val="32"/>
          <w:szCs w:val="32"/>
        </w:rPr>
        <w:t>（3）电子自旋的实验事实。</w:t>
      </w:r>
    </w:p>
    <w:p w14:paraId="05A4FDA4">
      <w:pPr>
        <w:pStyle w:val="5"/>
        <w:shd w:val="clear" w:color="auto" w:fill="FAFAFA"/>
        <w:spacing w:before="0" w:beforeAutospacing="0" w:after="0" w:afterAutospacing="0" w:line="560" w:lineRule="exact"/>
        <w:ind w:firstLine="640" w:firstLineChars="200"/>
        <w:rPr>
          <w:rFonts w:hint="eastAsia" w:ascii="仿宋_GB2312" w:hAnsi="Arial" w:eastAsia="仿宋_GB2312" w:cs="Arial"/>
          <w:sz w:val="32"/>
          <w:szCs w:val="32"/>
        </w:rPr>
      </w:pPr>
      <w:r>
        <w:rPr>
          <w:rFonts w:hint="eastAsia" w:ascii="仿宋_GB2312" w:hAnsi="Arial" w:eastAsia="仿宋_GB2312" w:cs="Arial"/>
          <w:sz w:val="32"/>
          <w:szCs w:val="32"/>
        </w:rPr>
        <w:t>（4）电子自旋算符和自旋波函数。</w:t>
      </w:r>
    </w:p>
    <w:p w14:paraId="28A23CEA">
      <w:pPr>
        <w:pStyle w:val="5"/>
        <w:shd w:val="clear" w:color="auto" w:fill="FAFAFA"/>
        <w:spacing w:before="0" w:beforeAutospacing="0" w:after="0" w:afterAutospacing="0" w:line="560" w:lineRule="exact"/>
        <w:ind w:firstLine="640" w:firstLineChars="200"/>
        <w:rPr>
          <w:rFonts w:hint="eastAsia" w:ascii="仿宋_GB2312" w:hAnsi="Arial" w:eastAsia="仿宋_GB2312" w:cs="Arial"/>
          <w:sz w:val="32"/>
          <w:szCs w:val="32"/>
        </w:rPr>
      </w:pPr>
      <w:r>
        <w:rPr>
          <w:rFonts w:hint="eastAsia" w:ascii="仿宋_GB2312" w:hAnsi="Arial" w:eastAsia="仿宋_GB2312" w:cs="Arial"/>
          <w:sz w:val="32"/>
          <w:szCs w:val="32"/>
        </w:rPr>
        <w:t>（5）全同粒子的不可区分性原理，玻色子和费米子概念。</w:t>
      </w:r>
    </w:p>
    <w:p w14:paraId="667D7665">
      <w:pPr>
        <w:pStyle w:val="5"/>
        <w:shd w:val="clear" w:color="auto" w:fill="FAFAFA"/>
        <w:spacing w:before="0" w:beforeAutospacing="0" w:after="0" w:afterAutospacing="0" w:line="560" w:lineRule="exact"/>
        <w:ind w:firstLine="640" w:firstLineChars="200"/>
        <w:rPr>
          <w:rFonts w:hint="eastAsia" w:ascii="仿宋_GB2312" w:hAnsi="Arial" w:eastAsia="仿宋_GB2312" w:cs="Arial"/>
          <w:sz w:val="32"/>
          <w:szCs w:val="32"/>
        </w:rPr>
      </w:pPr>
      <w:r>
        <w:rPr>
          <w:rFonts w:hint="eastAsia" w:ascii="仿宋_GB2312" w:hAnsi="Arial" w:eastAsia="仿宋_GB2312" w:cs="Arial"/>
          <w:sz w:val="32"/>
          <w:szCs w:val="32"/>
        </w:rPr>
        <w:t>（6）全同粒子体系的波函数和泡利不相容原理。</w:t>
      </w:r>
    </w:p>
    <w:p w14:paraId="1671AD8B">
      <w:pPr>
        <w:pStyle w:val="5"/>
        <w:shd w:val="clear" w:color="auto" w:fill="FAFAFA"/>
        <w:spacing w:before="0" w:beforeAutospacing="0" w:after="0" w:afterAutospacing="0" w:line="560" w:lineRule="exact"/>
        <w:ind w:firstLine="640" w:firstLineChars="200"/>
        <w:rPr>
          <w:rFonts w:hint="eastAsia" w:ascii="仿宋_GB2312" w:hAnsi="Arial" w:eastAsia="仿宋_GB2312" w:cs="Arial"/>
          <w:sz w:val="32"/>
          <w:szCs w:val="32"/>
        </w:rPr>
      </w:pPr>
      <w:r>
        <w:rPr>
          <w:rFonts w:hint="eastAsia" w:ascii="仿宋_GB2312" w:hAnsi="Arial" w:eastAsia="仿宋_GB2312" w:cs="Arial"/>
          <w:sz w:val="32"/>
          <w:szCs w:val="32"/>
        </w:rPr>
        <w:t>（7）两</w:t>
      </w:r>
      <w:r>
        <w:rPr>
          <w:rFonts w:hint="eastAsia" w:ascii="仿宋_GB2312" w:hAnsi="Arial" w:eastAsia="仿宋_GB2312" w:cs="Arial"/>
          <w:sz w:val="32"/>
          <w:szCs w:val="32"/>
          <w:lang w:val="en-US" w:eastAsia="zh-CN"/>
        </w:rPr>
        <w:t>电子</w:t>
      </w:r>
      <w:r>
        <w:rPr>
          <w:rFonts w:hint="eastAsia" w:ascii="仿宋_GB2312" w:hAnsi="Arial" w:eastAsia="仿宋_GB2312" w:cs="Arial"/>
          <w:sz w:val="32"/>
          <w:szCs w:val="32"/>
        </w:rPr>
        <w:t>体系的波函数。</w:t>
      </w:r>
    </w:p>
    <w:p w14:paraId="26AD4FA6">
      <w:pPr>
        <w:pStyle w:val="5"/>
        <w:shd w:val="clear" w:color="auto" w:fill="FAFAFA"/>
        <w:spacing w:before="0" w:beforeAutospacing="0" w:after="0" w:afterAutospacing="0" w:line="560" w:lineRule="exact"/>
        <w:ind w:firstLine="640" w:firstLineChars="200"/>
        <w:rPr>
          <w:rFonts w:hint="eastAsia" w:ascii="仿宋_GB2312" w:hAnsi="Arial" w:eastAsia="仿宋_GB2312" w:cs="Arial"/>
          <w:sz w:val="32"/>
          <w:szCs w:val="32"/>
        </w:rPr>
      </w:pPr>
      <w:r>
        <w:rPr>
          <w:rFonts w:hint="eastAsia" w:ascii="仿宋_GB2312" w:hAnsi="Arial" w:eastAsia="仿宋_GB2312" w:cs="Arial"/>
          <w:sz w:val="32"/>
          <w:szCs w:val="32"/>
        </w:rPr>
        <w:t>（8）电磁场中荷电粒子的运动，两类动量。</w:t>
      </w:r>
    </w:p>
    <w:p w14:paraId="5C013913">
      <w:pPr>
        <w:pStyle w:val="5"/>
        <w:shd w:val="clear" w:color="auto" w:fill="FAFAFA"/>
        <w:spacing w:before="0" w:beforeAutospacing="0" w:after="0" w:afterAutospacing="0" w:line="560" w:lineRule="exact"/>
        <w:ind w:firstLine="640" w:firstLineChars="200"/>
        <w:rPr>
          <w:rFonts w:hint="eastAsia" w:ascii="仿宋_GB2312" w:hAnsi="Arial" w:eastAsia="仿宋_GB2312" w:cs="Arial"/>
          <w:sz w:val="32"/>
          <w:szCs w:val="32"/>
        </w:rPr>
      </w:pPr>
      <w:r>
        <w:rPr>
          <w:rFonts w:hint="eastAsia" w:ascii="仿宋_GB2312" w:hAnsi="Arial" w:eastAsia="仿宋_GB2312" w:cs="Arial"/>
          <w:sz w:val="32"/>
          <w:szCs w:val="32"/>
        </w:rPr>
        <w:t>（9）正常塞曼效应。</w:t>
      </w:r>
    </w:p>
    <w:p w14:paraId="3F9AC21F">
      <w:pPr>
        <w:pStyle w:val="5"/>
        <w:shd w:val="clear" w:color="auto" w:fill="FAFAFA"/>
        <w:spacing w:before="0" w:beforeAutospacing="0" w:after="0" w:afterAutospacing="0" w:line="560" w:lineRule="exact"/>
        <w:ind w:firstLine="640" w:firstLineChars="200"/>
        <w:rPr>
          <w:rFonts w:hint="eastAsia" w:ascii="仿宋_GB2312" w:hAnsi="Arial" w:eastAsia="仿宋_GB2312" w:cs="Arial"/>
          <w:sz w:val="32"/>
          <w:szCs w:val="32"/>
        </w:rPr>
      </w:pPr>
      <w:r>
        <w:rPr>
          <w:rFonts w:hint="eastAsia" w:ascii="仿宋_GB2312" w:hAnsi="Arial" w:eastAsia="仿宋_GB2312" w:cs="Arial"/>
          <w:sz w:val="32"/>
          <w:szCs w:val="32"/>
        </w:rPr>
        <w:t>（10）定域电子（考虑自旋）在均匀磁场中的运动。</w:t>
      </w:r>
    </w:p>
    <w:p w14:paraId="7F2E7192">
      <w:pPr>
        <w:pStyle w:val="5"/>
        <w:shd w:val="clear" w:color="auto" w:fill="FAFAFA"/>
        <w:spacing w:before="0" w:beforeAutospacing="0" w:after="0" w:afterAutospacing="0" w:line="560" w:lineRule="exact"/>
        <w:ind w:firstLine="640" w:firstLineChars="200"/>
        <w:rPr>
          <w:rFonts w:hint="eastAsia" w:ascii="仿宋_GB2312" w:hAnsi="Arial" w:eastAsia="仿宋_GB2312" w:cs="Arial"/>
          <w:sz w:val="32"/>
          <w:szCs w:val="32"/>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方正小标宋简体">
    <w:panose1 w:val="03000509000000000000"/>
    <w:charset w:val="86"/>
    <w:family w:val="script"/>
    <w:pitch w:val="default"/>
    <w:sig w:usb0="00000001" w:usb1="080E0000" w:usb2="00000000" w:usb3="00000000" w:csb0="00040000" w:csb1="00000000"/>
  </w:font>
  <w:font w:name="仿宋_GB2312">
    <w:panose1 w:val="02010609030101010101"/>
    <w:charset w:val="86"/>
    <w:family w:val="modern"/>
    <w:pitch w:val="default"/>
    <w:sig w:usb0="00000001" w:usb1="080E0000" w:usb2="00000000" w:usb3="00000000" w:csb0="00040000" w:csb1="0000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65A4DBD"/>
    <w:multiLevelType w:val="multilevel"/>
    <w:tmpl w:val="065A4DBD"/>
    <w:lvl w:ilvl="0" w:tentative="0">
      <w:start w:val="1"/>
      <w:numFmt w:val="chineseCountingThousand"/>
      <w:suff w:val="nothing"/>
      <w:lvlText w:val="%1、"/>
      <w:lvlJc w:val="left"/>
      <w:pPr>
        <w:ind w:left="1063" w:hanging="420"/>
      </w:pPr>
      <w:rPr>
        <w:rFonts w:hint="eastAsia"/>
      </w:rPr>
    </w:lvl>
    <w:lvl w:ilvl="1" w:tentative="0">
      <w:start w:val="1"/>
      <w:numFmt w:val="lowerLetter"/>
      <w:lvlText w:val="%2)"/>
      <w:lvlJc w:val="left"/>
      <w:pPr>
        <w:ind w:left="1483" w:hanging="420"/>
      </w:pPr>
    </w:lvl>
    <w:lvl w:ilvl="2" w:tentative="0">
      <w:start w:val="1"/>
      <w:numFmt w:val="lowerRoman"/>
      <w:lvlText w:val="%3."/>
      <w:lvlJc w:val="right"/>
      <w:pPr>
        <w:ind w:left="1903" w:hanging="420"/>
      </w:pPr>
    </w:lvl>
    <w:lvl w:ilvl="3" w:tentative="0">
      <w:start w:val="1"/>
      <w:numFmt w:val="decimal"/>
      <w:lvlText w:val="%4."/>
      <w:lvlJc w:val="left"/>
      <w:pPr>
        <w:ind w:left="2323" w:hanging="420"/>
      </w:pPr>
    </w:lvl>
    <w:lvl w:ilvl="4" w:tentative="0">
      <w:start w:val="1"/>
      <w:numFmt w:val="lowerLetter"/>
      <w:lvlText w:val="%5)"/>
      <w:lvlJc w:val="left"/>
      <w:pPr>
        <w:ind w:left="2743" w:hanging="420"/>
      </w:pPr>
    </w:lvl>
    <w:lvl w:ilvl="5" w:tentative="0">
      <w:start w:val="1"/>
      <w:numFmt w:val="lowerRoman"/>
      <w:lvlText w:val="%6."/>
      <w:lvlJc w:val="right"/>
      <w:pPr>
        <w:ind w:left="3163" w:hanging="420"/>
      </w:pPr>
    </w:lvl>
    <w:lvl w:ilvl="6" w:tentative="0">
      <w:start w:val="1"/>
      <w:numFmt w:val="decimal"/>
      <w:lvlText w:val="%7."/>
      <w:lvlJc w:val="left"/>
      <w:pPr>
        <w:ind w:left="3583" w:hanging="420"/>
      </w:pPr>
    </w:lvl>
    <w:lvl w:ilvl="7" w:tentative="0">
      <w:start w:val="1"/>
      <w:numFmt w:val="lowerLetter"/>
      <w:lvlText w:val="%8)"/>
      <w:lvlJc w:val="left"/>
      <w:pPr>
        <w:ind w:left="4003" w:hanging="420"/>
      </w:pPr>
    </w:lvl>
    <w:lvl w:ilvl="8" w:tentative="0">
      <w:start w:val="1"/>
      <w:numFmt w:val="lowerRoman"/>
      <w:lvlText w:val="%9."/>
      <w:lvlJc w:val="right"/>
      <w:pPr>
        <w:ind w:left="4423" w:hanging="42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3"/>
  <w:bordersDoNotSurroundHeader w:val="1"/>
  <w:bordersDoNotSurroundFooter w:val="1"/>
  <w:trackRevisions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zA2ZTI5ZjA3NjViYmM5Yjc2MDg5OTk0M2E0NjA4MTMifQ=="/>
  </w:docVars>
  <w:rsids>
    <w:rsidRoot w:val="00347C36"/>
    <w:rsid w:val="001E08A8"/>
    <w:rsid w:val="00347C36"/>
    <w:rsid w:val="00B14864"/>
    <w:rsid w:val="053B5DAF"/>
    <w:rsid w:val="19F654A7"/>
    <w:rsid w:val="52FE555D"/>
    <w:rsid w:val="55EA13DD"/>
    <w:rsid w:val="58B7143C"/>
    <w:rsid w:val="5B732A55"/>
    <w:rsid w:val="62B86C65"/>
    <w:rsid w:val="6DCA2E81"/>
    <w:rsid w:val="75F47F0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0"/>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nhideWhenUsed="0" w:uiPriority="0" w:semiHidden="0" w:name="header"/>
    <w:lsdException w:unhideWhenUsed="0" w:uiPriority="0"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nhideWhenUsed="0" w:uiPriority="0" w:semiHidden="0"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character" w:default="1" w:styleId="7">
    <w:name w:val="Default Paragraph Font"/>
    <w:semiHidden/>
    <w:unhideWhenUsed/>
    <w:uiPriority w:val="1"/>
  </w:style>
  <w:style w:type="table" w:default="1" w:styleId="6">
    <w:name w:val="Normal Table"/>
    <w:semiHidden/>
    <w:unhideWhenUsed/>
    <w:uiPriority w:val="99"/>
    <w:tblPr>
      <w:tblCellMar>
        <w:top w:w="0" w:type="dxa"/>
        <w:left w:w="108" w:type="dxa"/>
        <w:bottom w:w="0" w:type="dxa"/>
        <w:right w:w="108" w:type="dxa"/>
      </w:tblCellMar>
    </w:tblPr>
  </w:style>
  <w:style w:type="paragraph" w:styleId="2">
    <w:name w:val="Body Text Indent"/>
    <w:qFormat/>
    <w:uiPriority w:val="0"/>
    <w:pPr>
      <w:widowControl w:val="0"/>
      <w:spacing w:line="300" w:lineRule="auto"/>
      <w:ind w:firstLine="480" w:firstLineChars="200"/>
      <w:jc w:val="both"/>
    </w:pPr>
    <w:rPr>
      <w:rFonts w:ascii="宋体" w:hAnsi="宋体" w:eastAsia="宋体" w:cs="Times New Roman"/>
      <w:kern w:val="2"/>
      <w:sz w:val="24"/>
      <w:szCs w:val="24"/>
      <w:lang w:val="en-US" w:eastAsia="zh-CN" w:bidi="ar-SA"/>
    </w:rPr>
  </w:style>
  <w:style w:type="paragraph" w:styleId="3">
    <w:name w:val="footer"/>
    <w:uiPriority w:val="0"/>
    <w:pPr>
      <w:widowControl w:val="0"/>
      <w:tabs>
        <w:tab w:val="center" w:pos="4153"/>
        <w:tab w:val="right" w:pos="8306"/>
      </w:tabs>
      <w:snapToGrid w:val="0"/>
      <w:jc w:val="left"/>
    </w:pPr>
    <w:rPr>
      <w:rFonts w:ascii="Times New Roman" w:hAnsi="Times New Roman" w:eastAsia="宋体" w:cs="Times New Roman"/>
      <w:kern w:val="2"/>
      <w:sz w:val="18"/>
      <w:szCs w:val="18"/>
      <w:lang w:val="en-US" w:eastAsia="zh-CN" w:bidi="ar-SA"/>
    </w:rPr>
  </w:style>
  <w:style w:type="paragraph" w:styleId="4">
    <w:name w:val="header"/>
    <w:uiPriority w:val="0"/>
    <w:pPr>
      <w:widowControl w:val="0"/>
      <w:pBdr>
        <w:bottom w:val="single" w:color="auto" w:sz="6" w:space="1"/>
      </w:pBdr>
      <w:tabs>
        <w:tab w:val="center" w:pos="4153"/>
        <w:tab w:val="right" w:pos="8306"/>
      </w:tabs>
      <w:snapToGrid w:val="0"/>
      <w:jc w:val="center"/>
    </w:pPr>
    <w:rPr>
      <w:rFonts w:ascii="Times New Roman" w:hAnsi="Times New Roman" w:eastAsia="宋体" w:cs="Times New Roman"/>
      <w:kern w:val="2"/>
      <w:sz w:val="18"/>
      <w:szCs w:val="18"/>
      <w:lang w:val="en-US" w:eastAsia="zh-CN" w:bidi="ar-SA"/>
    </w:rPr>
  </w:style>
  <w:style w:type="paragraph" w:styleId="5">
    <w:name w:val="Normal (Web)"/>
    <w:basedOn w:val="1"/>
    <w:unhideWhenUsed/>
    <w:uiPriority w:val="99"/>
    <w:pPr>
      <w:widowControl/>
      <w:spacing w:before="100" w:beforeAutospacing="1" w:after="100" w:afterAutospacing="1"/>
      <w:jc w:val="left"/>
    </w:pPr>
    <w:rPr>
      <w:rFonts w:ascii="宋体" w:hAnsi="宋体" w:eastAsia="宋体" w:cs="宋体"/>
      <w:kern w:val="0"/>
      <w:sz w:val="24"/>
      <w:szCs w:val="24"/>
    </w:rPr>
  </w:style>
  <w:style w:type="character" w:styleId="8">
    <w:name w:val="Strong"/>
    <w:basedOn w:val="7"/>
    <w:qFormat/>
    <w:uiPriority w:val="22"/>
    <w:rPr>
      <w:b/>
      <w:bCs/>
    </w:rPr>
  </w:style>
  <w:style w:type="character" w:styleId="9">
    <w:name w:val="page number"/>
    <w:uiPriority w:val="0"/>
  </w:style>
  <w:style w:type="character" w:styleId="10">
    <w:name w:val="Hyperlink"/>
    <w:basedOn w:val="7"/>
    <w:semiHidden/>
    <w:unhideWhenUsed/>
    <w:uiPriority w:val="99"/>
    <w:rPr>
      <w:color w:val="0000FF"/>
      <w:u w:val="single"/>
    </w:rPr>
  </w:style>
</w:styles>
</file>

<file path=word/_rels/document.xml.rels><?xml version="1.0" encoding="UTF-8" standalone="yes"?>
<Relationships xmlns="http://schemas.openxmlformats.org/package/2006/relationships"><Relationship Id="rId9" Type="http://schemas.openxmlformats.org/officeDocument/2006/relationships/image" Target="media/image3.wmf"/><Relationship Id="rId8" Type="http://schemas.openxmlformats.org/officeDocument/2006/relationships/oleObject" Target="embeddings/oleObject3.bin"/><Relationship Id="rId7" Type="http://schemas.openxmlformats.org/officeDocument/2006/relationships/image" Target="media/image2.wmf"/><Relationship Id="rId6" Type="http://schemas.openxmlformats.org/officeDocument/2006/relationships/oleObject" Target="embeddings/oleObject2.bin"/><Relationship Id="rId5" Type="http://schemas.openxmlformats.org/officeDocument/2006/relationships/image" Target="media/image1.wmf"/><Relationship Id="rId4" Type="http://schemas.openxmlformats.org/officeDocument/2006/relationships/oleObject" Target="embeddings/oleObject1.bin"/><Relationship Id="rId3" Type="http://schemas.openxmlformats.org/officeDocument/2006/relationships/theme" Target="theme/theme1.xml"/><Relationship Id="rId2" Type="http://schemas.openxmlformats.org/officeDocument/2006/relationships/settings" Target="settings.xml"/><Relationship Id="rId11" Type="http://schemas.openxmlformats.org/officeDocument/2006/relationships/fontTable" Target="fontTable.xml"/><Relationship Id="rId10" Type="http://schemas.openxmlformats.org/officeDocument/2006/relationships/numbering" Target="numbering.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Company>Micorosoft</Company>
  <Pages>4</Pages>
  <Words>1214</Words>
  <Characters>1244</Characters>
  <Lines>6</Lines>
  <Paragraphs>1</Paragraphs>
  <TotalTime>28</TotalTime>
  <ScaleCrop>false</ScaleCrop>
  <LinksUpToDate>false</LinksUpToDate>
  <CharactersWithSpaces>1256</CharactersWithSpaces>
  <Application>WPS Office_12.1.0.26895_F1E327BC-269C-435d-A152-05C5408002CA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2022-06-14T01:10:00Z</dcterms:created>
  <dc:creator>张琼渊</dc:creator>
  <cp:lastModifiedBy>物能-石茜</cp:lastModifiedBy>
  <dcterms:modified xsi:type="dcterms:W3CDTF">2026-06-29T08:32:09Z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DBEAAAD596724D9FAD695E63DB369816_12</vt:lpwstr>
  </property>
  <property fmtid="{D5CDD505-2E9C-101B-9397-08002B2CF9AE}" pid="4" name="KSOTemplateDocerSaveRecord">
    <vt:lpwstr>eyJoZGlkIjoiYzMxZTVhOGVjZTdhNWYwYWRkMDMwZGQyOTdmNGVhMGMiLCJ1c2VySWQiOiIxNzI2NTMyODU1In0=</vt:lpwstr>
  </property>
</Properties>
</file>