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10C43">
      <w:pPr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r>
        <w:rPr>
          <w:rStyle w:val="7"/>
          <w:rFonts w:hint="eastAsia" w:ascii="方正小标宋简体" w:hAnsi="Arial" w:eastAsia="方正小标宋简体" w:cs="Arial"/>
          <w:sz w:val="32"/>
          <w:szCs w:val="32"/>
        </w:rPr>
        <w:t>硕士研究生入学考试大纲</w:t>
      </w:r>
    </w:p>
    <w:p w14:paraId="209AA49F">
      <w:pPr>
        <w:jc w:val="center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《4</w:t>
      </w:r>
      <w:r>
        <w:rPr>
          <w:rFonts w:ascii="宋体" w:hAnsi="宋体" w:eastAsia="宋体" w:cs="宋体"/>
          <w:b/>
          <w:bCs/>
          <w:color w:val="000000"/>
          <w:sz w:val="30"/>
          <w:szCs w:val="30"/>
        </w:rPr>
        <w:t>40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 xml:space="preserve">新闻与传播专业基础》 </w:t>
      </w:r>
    </w:p>
    <w:p w14:paraId="67AA34C9">
      <w:pPr>
        <w:spacing w:line="276" w:lineRule="auto"/>
        <w:jc w:val="center"/>
        <w:rPr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Ⅰ</w:t>
      </w:r>
      <w:r>
        <w:rPr>
          <w:b/>
          <w:sz w:val="30"/>
          <w:szCs w:val="30"/>
        </w:rPr>
        <w:t>.</w:t>
      </w:r>
      <w:r>
        <w:rPr>
          <w:rFonts w:hint="eastAsia"/>
          <w:b/>
          <w:sz w:val="30"/>
          <w:szCs w:val="30"/>
        </w:rPr>
        <w:t>考试参考书目</w:t>
      </w:r>
    </w:p>
    <w:p w14:paraId="07B7F8BC">
      <w:pPr>
        <w:pStyle w:val="11"/>
        <w:spacing w:line="276" w:lineRule="auto"/>
        <w:ind w:left="701" w:leftChars="67" w:hanging="560" w:hangingChars="200"/>
        <w:jc w:val="left"/>
        <w:rPr>
          <w:rFonts w:hint="eastAsia" w:ascii="仿宋" w:hAnsi="仿宋" w:eastAsia="仿宋" w:cs="Arial"/>
          <w:color w:val="000000"/>
          <w:sz w:val="28"/>
          <w:szCs w:val="28"/>
        </w:rPr>
      </w:pPr>
      <w:r>
        <w:rPr>
          <w:rFonts w:hint="eastAsia" w:ascii="仿宋" w:hAnsi="仿宋" w:eastAsia="仿宋" w:cs="Arial"/>
          <w:color w:val="000000"/>
          <w:sz w:val="28"/>
          <w:szCs w:val="28"/>
        </w:rPr>
        <w:t>1、</w:t>
      </w:r>
      <w:r>
        <w:rPr>
          <w:rFonts w:ascii="仿宋" w:hAnsi="仿宋" w:eastAsia="仿宋" w:cs="Arial"/>
          <w:color w:val="000000"/>
          <w:sz w:val="28"/>
          <w:szCs w:val="28"/>
        </w:rPr>
        <w:t>《大众传播理论：范式与流派》,刘海龙</w:t>
      </w:r>
      <w:r>
        <w:rPr>
          <w:rFonts w:hint="eastAsia" w:ascii="仿宋" w:hAnsi="仿宋" w:eastAsia="仿宋" w:cs="Arial"/>
          <w:color w:val="000000"/>
          <w:sz w:val="28"/>
          <w:szCs w:val="28"/>
        </w:rPr>
        <w:t>.</w:t>
      </w:r>
      <w:r>
        <w:rPr>
          <w:rFonts w:ascii="仿宋" w:hAnsi="仿宋" w:eastAsia="仿宋" w:cs="Arial"/>
          <w:color w:val="000000"/>
          <w:sz w:val="28"/>
          <w:szCs w:val="28"/>
        </w:rPr>
        <w:t>中国人民大学出版社，2008年</w:t>
      </w:r>
      <w:r>
        <w:rPr>
          <w:rFonts w:hint="eastAsia" w:ascii="仿宋" w:hAnsi="仿宋" w:eastAsia="仿宋" w:cs="Arial"/>
          <w:color w:val="000000"/>
          <w:sz w:val="28"/>
          <w:szCs w:val="28"/>
        </w:rPr>
        <w:t>版。</w:t>
      </w:r>
    </w:p>
    <w:p w14:paraId="19867D74">
      <w:pPr>
        <w:pStyle w:val="11"/>
        <w:spacing w:line="276" w:lineRule="auto"/>
        <w:ind w:left="701" w:leftChars="67" w:hanging="560" w:hangingChars="200"/>
        <w:jc w:val="left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仿宋" w:hAnsi="仿宋" w:eastAsia="仿宋" w:cs="Arial"/>
          <w:color w:val="000000"/>
          <w:sz w:val="28"/>
          <w:szCs w:val="28"/>
        </w:rPr>
        <w:t>2、《新媒体用户研究：</w:t>
      </w:r>
      <w:r>
        <w:rPr>
          <w:rFonts w:ascii="仿宋" w:hAnsi="仿宋" w:eastAsia="仿宋" w:cs="Arial"/>
          <w:color w:val="000000"/>
          <w:sz w:val="28"/>
          <w:szCs w:val="28"/>
        </w:rPr>
        <w:t>节点化、媒介化、赛博格化的人》</w:t>
      </w:r>
      <w:r>
        <w:rPr>
          <w:rFonts w:hint="eastAsia" w:ascii="仿宋" w:hAnsi="仿宋" w:eastAsia="仿宋" w:cs="Arial"/>
          <w:color w:val="000000"/>
          <w:sz w:val="28"/>
          <w:szCs w:val="28"/>
        </w:rPr>
        <w:t>,</w:t>
      </w:r>
      <w:r>
        <w:rPr>
          <w:rFonts w:hint="eastAsia" w:ascii="仿宋" w:hAnsi="仿宋" w:eastAsia="仿宋" w:cs="Arial"/>
          <w:sz w:val="28"/>
          <w:szCs w:val="28"/>
        </w:rPr>
        <w:t>彭兰.</w:t>
      </w:r>
      <w:r>
        <w:rPr>
          <w:rFonts w:ascii="仿宋" w:hAnsi="仿宋" w:eastAsia="仿宋" w:cs="Arial"/>
          <w:sz w:val="28"/>
          <w:szCs w:val="28"/>
        </w:rPr>
        <w:t>中国人民大学出版社，</w:t>
      </w:r>
      <w:r>
        <w:rPr>
          <w:rFonts w:hint="eastAsia" w:ascii="仿宋" w:hAnsi="仿宋" w:eastAsia="仿宋" w:cs="Arial"/>
          <w:sz w:val="28"/>
          <w:szCs w:val="28"/>
        </w:rPr>
        <w:t>2020年版。</w:t>
      </w:r>
    </w:p>
    <w:p w14:paraId="7767DF30">
      <w:pPr>
        <w:pStyle w:val="11"/>
        <w:spacing w:line="276" w:lineRule="auto"/>
        <w:ind w:left="701" w:leftChars="67" w:hanging="560" w:hangingChars="200"/>
        <w:jc w:val="left"/>
        <w:rPr>
          <w:rFonts w:hint="eastAsia" w:ascii="仿宋" w:hAnsi="仿宋" w:eastAsia="仿宋" w:cs="Arial"/>
          <w:sz w:val="28"/>
          <w:szCs w:val="28"/>
        </w:rPr>
      </w:pPr>
      <w:r>
        <w:rPr>
          <w:rFonts w:hint="eastAsia" w:ascii="仿宋" w:hAnsi="仿宋" w:eastAsia="仿宋" w:cs="Arial"/>
          <w:sz w:val="28"/>
          <w:szCs w:val="28"/>
        </w:rPr>
        <w:t>3、《</w:t>
      </w:r>
      <w:r>
        <w:rPr>
          <w:rFonts w:ascii="仿宋" w:hAnsi="仿宋" w:eastAsia="仿宋" w:cs="Arial"/>
          <w:sz w:val="28"/>
          <w:szCs w:val="28"/>
        </w:rPr>
        <w:t>媒介研究导论</w:t>
      </w:r>
      <w:r>
        <w:rPr>
          <w:rFonts w:hint="eastAsia" w:ascii="仿宋" w:hAnsi="仿宋" w:eastAsia="仿宋" w:cs="Arial"/>
          <w:sz w:val="28"/>
          <w:szCs w:val="28"/>
        </w:rPr>
        <w:t>》，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"https://book.jd.com/writer/%E5%90%B4%E7%92%9F%E8%96%87_1.html" \t "_blank" </w:instrText>
      </w:r>
      <w:r>
        <w:rPr>
          <w:sz w:val="28"/>
          <w:szCs w:val="28"/>
        </w:rPr>
        <w:fldChar w:fldCharType="separate"/>
      </w:r>
      <w:r>
        <w:rPr>
          <w:rFonts w:ascii="仿宋" w:hAnsi="仿宋" w:eastAsia="仿宋" w:cs="Arial"/>
          <w:sz w:val="28"/>
          <w:szCs w:val="28"/>
        </w:rPr>
        <w:t>吴璟薇</w:t>
      </w:r>
      <w:r>
        <w:rPr>
          <w:rFonts w:ascii="仿宋" w:hAnsi="仿宋" w:eastAsia="仿宋" w:cs="Arial"/>
          <w:sz w:val="28"/>
          <w:szCs w:val="28"/>
        </w:rPr>
        <w:fldChar w:fldCharType="end"/>
      </w:r>
      <w:r>
        <w:rPr>
          <w:rFonts w:hint="eastAsia" w:ascii="仿宋" w:hAnsi="仿宋" w:eastAsia="仿宋" w:cs="Arial"/>
          <w:sz w:val="28"/>
          <w:szCs w:val="28"/>
        </w:rPr>
        <w:t>，中国传媒大学出版社，2024年。</w:t>
      </w:r>
    </w:p>
    <w:p w14:paraId="187B0048">
      <w:pPr>
        <w:spacing w:line="276" w:lineRule="auto"/>
        <w:jc w:val="left"/>
        <w:rPr>
          <w:rFonts w:hint="eastAsia" w:hAnsi="宋体"/>
          <w:b/>
          <w:sz w:val="28"/>
          <w:szCs w:val="28"/>
        </w:rPr>
      </w:pPr>
    </w:p>
    <w:p w14:paraId="36E635E0">
      <w:pPr>
        <w:spacing w:line="276" w:lineRule="auto"/>
        <w:jc w:val="center"/>
        <w:rPr>
          <w:b/>
          <w:sz w:val="30"/>
          <w:szCs w:val="30"/>
        </w:rPr>
      </w:pPr>
      <w:r>
        <w:rPr>
          <w:rFonts w:hAnsi="宋体"/>
          <w:b/>
          <w:sz w:val="30"/>
          <w:szCs w:val="30"/>
        </w:rPr>
        <w:t>Ⅱ</w:t>
      </w:r>
      <w:r>
        <w:rPr>
          <w:b/>
          <w:sz w:val="30"/>
          <w:szCs w:val="30"/>
        </w:rPr>
        <w:t>.考</w:t>
      </w:r>
      <w:r>
        <w:rPr>
          <w:rFonts w:hint="eastAsia"/>
          <w:b/>
          <w:sz w:val="30"/>
          <w:szCs w:val="30"/>
        </w:rPr>
        <w:t>试大纲</w:t>
      </w:r>
    </w:p>
    <w:p w14:paraId="38AD9330">
      <w:pPr>
        <w:spacing w:line="276" w:lineRule="auto"/>
        <w:rPr>
          <w:rFonts w:hint="eastAsia" w:ascii="仿宋" w:hAnsi="仿宋" w:eastAsia="仿宋" w:cs="Arial"/>
          <w:b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Arial"/>
          <w:b/>
          <w:color w:val="000000"/>
          <w:kern w:val="0"/>
          <w:sz w:val="30"/>
          <w:szCs w:val="30"/>
        </w:rPr>
        <w:t>一、考试性质</w:t>
      </w:r>
    </w:p>
    <w:p w14:paraId="3E803794">
      <w:pPr>
        <w:spacing w:line="276" w:lineRule="auto"/>
        <w:ind w:firstLine="560" w:firstLineChars="200"/>
        <w:rPr>
          <w:rFonts w:hint="eastAsia" w:ascii="仿宋" w:hAnsi="仿宋" w:eastAsia="仿宋" w:cs="Arial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《新闻与传播专业基础》是新闻与传播（专业学位）硕士生入学专业考试科目之一，主要考察考生对新闻传播学相关理论</w:t>
      </w:r>
      <w:r>
        <w:rPr>
          <w:rFonts w:ascii="仿宋" w:hAnsi="仿宋" w:eastAsia="仿宋" w:cs="Arial"/>
          <w:color w:val="000000"/>
          <w:kern w:val="0"/>
          <w:sz w:val="28"/>
          <w:szCs w:val="28"/>
        </w:rPr>
        <w:t>的</w:t>
      </w: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概念、内涵理解和掌握，以及运用理论对当前新闻传播现象的阐释能力。</w:t>
      </w:r>
    </w:p>
    <w:p w14:paraId="57E0ED06">
      <w:pPr>
        <w:spacing w:line="276" w:lineRule="auto"/>
        <w:rPr>
          <w:rFonts w:hint="eastAsia" w:ascii="仿宋" w:hAnsi="仿宋" w:eastAsia="仿宋" w:cs="Arial"/>
          <w:b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Arial"/>
          <w:b/>
          <w:color w:val="000000"/>
          <w:kern w:val="0"/>
          <w:sz w:val="30"/>
          <w:szCs w:val="30"/>
        </w:rPr>
        <w:t>二、考察目标</w:t>
      </w:r>
    </w:p>
    <w:p w14:paraId="495EFD4F">
      <w:pPr>
        <w:spacing w:line="276" w:lineRule="auto"/>
        <w:ind w:firstLine="560" w:firstLineChars="200"/>
        <w:rPr>
          <w:rFonts w:hint="eastAsia"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理解和掌握新闻与传播学理论中的各流派与范式，能够透过传播现象对现实生活中的实际问题进行阐释与分析；能用新媒体技术与哲学的发展视角对当前科技变革、信息传播与社会发展等前沿问题进行综合探讨，并有独立的见解和阐述；了解新闻学的基本知识、概念和观点，掌握相关新闻理论分析判断社会现象。</w:t>
      </w:r>
    </w:p>
    <w:p w14:paraId="68433977">
      <w:pPr>
        <w:spacing w:line="276" w:lineRule="auto"/>
        <w:jc w:val="left"/>
        <w:rPr>
          <w:rFonts w:hint="eastAsia" w:ascii="仿宋" w:hAnsi="仿宋" w:eastAsia="仿宋" w:cs="Arial"/>
          <w:b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Arial"/>
          <w:b/>
          <w:color w:val="000000"/>
          <w:kern w:val="0"/>
          <w:sz w:val="30"/>
          <w:szCs w:val="30"/>
        </w:rPr>
        <w:t>三、考试形式和试卷结构</w:t>
      </w:r>
    </w:p>
    <w:p w14:paraId="34DCD1FB">
      <w:pPr>
        <w:rPr>
          <w:rFonts w:hint="eastAsia" w:ascii="仿宋" w:hAnsi="仿宋" w:eastAsia="仿宋" w:cs="Arial"/>
          <w:color w:val="000000"/>
          <w:kern w:val="0"/>
          <w:sz w:val="30"/>
          <w:szCs w:val="30"/>
        </w:rPr>
      </w:pPr>
      <w:r>
        <w:rPr>
          <w:rStyle w:val="7"/>
          <w:rFonts w:hint="eastAsia" w:ascii="仿宋_GB2312" w:hAnsi="Arial" w:eastAsia="仿宋_GB2312" w:cs="Arial"/>
          <w:sz w:val="30"/>
          <w:szCs w:val="30"/>
        </w:rPr>
        <w:t>（一）试卷满分及考试时间</w:t>
      </w:r>
    </w:p>
    <w:p w14:paraId="167056B0">
      <w:pPr>
        <w:ind w:firstLine="560" w:firstLineChars="200"/>
        <w:rPr>
          <w:rFonts w:hint="eastAsia" w:ascii="仿宋" w:hAnsi="仿宋" w:eastAsia="仿宋" w:cs="Arial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试卷满分为150分，考试时间为180分钟。</w:t>
      </w:r>
    </w:p>
    <w:p w14:paraId="4B7FAC8C">
      <w:r>
        <w:rPr>
          <w:rStyle w:val="7"/>
          <w:rFonts w:hint="eastAsia" w:ascii="仿宋_GB2312" w:hAnsi="Arial" w:eastAsia="仿宋_GB2312" w:cs="Arial"/>
          <w:sz w:val="30"/>
          <w:szCs w:val="30"/>
        </w:rPr>
        <w:t>（二）答题方式</w:t>
      </w:r>
    </w:p>
    <w:p w14:paraId="252EBA31">
      <w:pPr>
        <w:ind w:firstLine="560" w:firstLineChars="200"/>
        <w:rPr>
          <w:rFonts w:hint="eastAsia"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答题方式为闭卷、笔试。不允许使用计算器。</w:t>
      </w:r>
    </w:p>
    <w:p w14:paraId="62EA3B17">
      <w:pPr>
        <w:rPr>
          <w:sz w:val="30"/>
          <w:szCs w:val="30"/>
        </w:rPr>
      </w:pPr>
      <w:r>
        <w:rPr>
          <w:rStyle w:val="7"/>
          <w:rFonts w:hint="eastAsia" w:ascii="仿宋_GB2312" w:hAnsi="Arial" w:eastAsia="仿宋_GB2312" w:cs="Arial"/>
          <w:sz w:val="30"/>
          <w:szCs w:val="30"/>
        </w:rPr>
        <w:t>（三）试卷包含内容</w:t>
      </w:r>
    </w:p>
    <w:p w14:paraId="4EE9CE60">
      <w:pPr>
        <w:ind w:firstLine="560" w:firstLineChars="200"/>
        <w:rPr>
          <w:rFonts w:hint="eastAsia" w:ascii="仿宋" w:hAnsi="仿宋" w:eastAsia="仿宋" w:cs="Arial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 xml:space="preserve">名词解释（共50分 </w:t>
      </w:r>
      <w:r>
        <w:rPr>
          <w:rFonts w:ascii="仿宋" w:hAnsi="仿宋" w:eastAsia="仿宋" w:cs="Arial"/>
          <w:color w:val="000000"/>
          <w:kern w:val="0"/>
          <w:sz w:val="28"/>
          <w:szCs w:val="28"/>
        </w:rPr>
        <w:t>5</w:t>
      </w: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小题 每题10分）</w:t>
      </w:r>
    </w:p>
    <w:p w14:paraId="387A7F4E">
      <w:pPr>
        <w:spacing w:line="276" w:lineRule="auto"/>
        <w:ind w:firstLine="560" w:firstLineChars="200"/>
        <w:rPr>
          <w:rFonts w:hint="eastAsia" w:ascii="仿宋" w:hAnsi="仿宋" w:eastAsia="仿宋" w:cs="Arial"/>
          <w:kern w:val="0"/>
          <w:sz w:val="28"/>
          <w:szCs w:val="28"/>
        </w:rPr>
      </w:pPr>
      <w:r>
        <w:rPr>
          <w:rFonts w:hint="eastAsia" w:ascii="仿宋" w:hAnsi="仿宋" w:eastAsia="仿宋" w:cs="Arial"/>
          <w:kern w:val="0"/>
          <w:sz w:val="28"/>
          <w:szCs w:val="28"/>
        </w:rPr>
        <w:t>简答题</w:t>
      </w:r>
      <w:bookmarkStart w:id="0" w:name="_GoBack"/>
      <w:bookmarkEnd w:id="0"/>
      <w:r>
        <w:rPr>
          <w:rFonts w:hint="eastAsia" w:ascii="仿宋" w:hAnsi="仿宋" w:eastAsia="仿宋" w:cs="Arial"/>
          <w:kern w:val="0"/>
          <w:sz w:val="28"/>
          <w:szCs w:val="28"/>
        </w:rPr>
        <w:t>（共60分 2小题 每题30分）</w:t>
      </w:r>
    </w:p>
    <w:p w14:paraId="76007274">
      <w:pPr>
        <w:spacing w:line="276" w:lineRule="auto"/>
        <w:ind w:firstLine="560" w:firstLineChars="200"/>
        <w:rPr>
          <w:rFonts w:hint="eastAsia" w:ascii="仿宋" w:hAnsi="仿宋" w:eastAsia="仿宋" w:cs="Arial"/>
          <w:kern w:val="0"/>
          <w:sz w:val="28"/>
          <w:szCs w:val="28"/>
        </w:rPr>
      </w:pPr>
      <w:r>
        <w:rPr>
          <w:rFonts w:hint="eastAsia" w:ascii="仿宋" w:hAnsi="仿宋" w:eastAsia="仿宋" w:cs="Arial"/>
          <w:kern w:val="0"/>
          <w:sz w:val="28"/>
          <w:szCs w:val="28"/>
        </w:rPr>
        <w:t>论述题（共40分 1小题 每题40分）</w:t>
      </w:r>
    </w:p>
    <w:p w14:paraId="2B5D97C0">
      <w:pPr>
        <w:spacing w:line="276" w:lineRule="auto"/>
        <w:rPr>
          <w:rFonts w:hint="eastAsia" w:ascii="宋体" w:hAnsi="宋体" w:eastAsia="宋体" w:cs="Arial"/>
          <w:color w:val="000000"/>
          <w:kern w:val="0"/>
          <w:szCs w:val="21"/>
        </w:rPr>
      </w:pPr>
    </w:p>
    <w:p w14:paraId="5EAC1B90">
      <w:pPr>
        <w:spacing w:line="276" w:lineRule="auto"/>
        <w:jc w:val="left"/>
        <w:rPr>
          <w:rFonts w:hint="eastAsia" w:ascii="仿宋" w:hAnsi="仿宋" w:eastAsia="仿宋" w:cs="Arial"/>
          <w:b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Arial"/>
          <w:b/>
          <w:color w:val="000000"/>
          <w:kern w:val="0"/>
          <w:sz w:val="30"/>
          <w:szCs w:val="30"/>
        </w:rPr>
        <w:t>四、考查内容</w:t>
      </w:r>
    </w:p>
    <w:p w14:paraId="0BAA3BF5">
      <w:pPr>
        <w:spacing w:line="276" w:lineRule="auto"/>
        <w:ind w:firstLine="560" w:firstLineChars="200"/>
        <w:jc w:val="left"/>
        <w:rPr>
          <w:rFonts w:hint="eastAsia" w:ascii="仿宋" w:hAnsi="仿宋" w:eastAsia="仿宋" w:cs="Arial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1、熟悉大众传播研究的历史，大众传播的理论与范式，包括媒介的社会功能、大众传播效果理论、传播政治经济学派、文化研究和媒介环境学派的相关理论，并能结合当前传播与社会现象运用相关理论进行阐释与分析。</w:t>
      </w:r>
    </w:p>
    <w:p w14:paraId="1CCAD4E9">
      <w:pPr>
        <w:spacing w:line="276" w:lineRule="auto"/>
        <w:ind w:firstLine="560" w:firstLineChars="200"/>
        <w:jc w:val="left"/>
        <w:rPr>
          <w:rFonts w:hint="eastAsia" w:ascii="仿宋" w:hAnsi="仿宋" w:eastAsia="仿宋" w:cs="Arial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2.了解媒介前沿技术、形式变革问题对新闻传播实践的影响，包括：新媒体传播的演变；新媒体用户在传播、社交关系和服务中的节点化生存和媒介化生存；以及智能时代的人机关系等的研究。</w:t>
      </w:r>
    </w:p>
    <w:p w14:paraId="2C56BD3F">
      <w:pPr>
        <w:spacing w:line="276" w:lineRule="auto"/>
        <w:ind w:firstLine="560" w:firstLineChars="200"/>
        <w:jc w:val="left"/>
        <w:rPr>
          <w:rFonts w:hint="eastAsia" w:ascii="仿宋" w:hAnsi="仿宋" w:eastAsia="仿宋" w:cs="Arial"/>
          <w:kern w:val="0"/>
          <w:sz w:val="28"/>
          <w:szCs w:val="28"/>
        </w:rPr>
      </w:pPr>
      <w:r>
        <w:rPr>
          <w:rFonts w:hint="eastAsia" w:ascii="仿宋" w:hAnsi="仿宋" w:eastAsia="仿宋" w:cs="Arial"/>
          <w:kern w:val="0"/>
          <w:sz w:val="28"/>
          <w:szCs w:val="28"/>
        </w:rPr>
        <w:t>3.</w:t>
      </w:r>
      <w:r>
        <w:rPr>
          <w:rFonts w:ascii="仿宋" w:hAnsi="仿宋" w:eastAsia="仿宋" w:cs="Arial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Arial"/>
          <w:kern w:val="0"/>
          <w:sz w:val="28"/>
          <w:szCs w:val="28"/>
        </w:rPr>
        <w:t>掌握媒介研究的前沿理论，包括媒介研究的传统、思维理路、媒介物质性、媒介时间性、媒介与身体、媒介研究方法等。</w:t>
      </w:r>
    </w:p>
    <w:p w14:paraId="16A6E21F">
      <w:pPr>
        <w:spacing w:line="276" w:lineRule="auto"/>
        <w:ind w:firstLine="560" w:firstLineChars="200"/>
        <w:jc w:val="left"/>
        <w:rPr>
          <w:rFonts w:hint="eastAsia" w:ascii="仿宋" w:hAnsi="仿宋" w:eastAsia="仿宋" w:cs="Arial"/>
          <w:color w:val="000000"/>
          <w:kern w:val="0"/>
          <w:sz w:val="28"/>
          <w:szCs w:val="28"/>
        </w:rPr>
      </w:pPr>
      <w:r>
        <w:rPr>
          <w:rFonts w:ascii="仿宋" w:hAnsi="仿宋" w:eastAsia="仿宋" w:cs="Arial"/>
          <w:color w:val="000000"/>
          <w:kern w:val="0"/>
          <w:sz w:val="28"/>
          <w:szCs w:val="28"/>
        </w:rPr>
        <w:t>4</w:t>
      </w:r>
      <w:r>
        <w:rPr>
          <w:rFonts w:hint="eastAsia" w:ascii="仿宋" w:hAnsi="仿宋" w:eastAsia="仿宋" w:cs="Arial"/>
          <w:color w:val="000000"/>
          <w:kern w:val="0"/>
          <w:sz w:val="28"/>
          <w:szCs w:val="28"/>
        </w:rPr>
        <w:t>、扩大阅读和理解能力，关注学术界研究的新进展，对《新闻与传播研究》《现代传播》《国际新闻界》《新闻大学》《新闻记者》等重要学术期刊论文进行必要的了解。</w:t>
      </w:r>
    </w:p>
    <w:p w14:paraId="71A83FFF">
      <w:pPr>
        <w:spacing w:line="276" w:lineRule="auto"/>
        <w:rPr>
          <w:rFonts w:hint="eastAsia" w:ascii="宋体" w:hAnsi="宋体" w:eastAsia="宋体" w:cs="Arial"/>
          <w:color w:val="000000"/>
          <w:kern w:val="0"/>
          <w:szCs w:val="21"/>
        </w:rPr>
      </w:pPr>
    </w:p>
    <w:sectPr>
      <w:pgSz w:w="11906" w:h="16838"/>
      <w:pgMar w:top="1560" w:right="141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35A5727-ABB0-4B7C-951E-265B3328744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3AD1BA3-D03B-4B2D-BC69-02CD440D029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2F19CD3-1D6E-45D1-8210-0794E144F316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AF6DF248-D080-4195-8C0D-951FD515F9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367956"/>
    <w:rsid w:val="000F20A1"/>
    <w:rsid w:val="000F50CC"/>
    <w:rsid w:val="00130B90"/>
    <w:rsid w:val="00131D30"/>
    <w:rsid w:val="00140B42"/>
    <w:rsid w:val="001458FE"/>
    <w:rsid w:val="00146472"/>
    <w:rsid w:val="00153756"/>
    <w:rsid w:val="00154CFC"/>
    <w:rsid w:val="001921B4"/>
    <w:rsid w:val="001A5CD7"/>
    <w:rsid w:val="001E6939"/>
    <w:rsid w:val="002025B4"/>
    <w:rsid w:val="00252223"/>
    <w:rsid w:val="002639E7"/>
    <w:rsid w:val="00287381"/>
    <w:rsid w:val="00290C76"/>
    <w:rsid w:val="003914AB"/>
    <w:rsid w:val="003A6BC9"/>
    <w:rsid w:val="003B239F"/>
    <w:rsid w:val="003F548C"/>
    <w:rsid w:val="00416DBA"/>
    <w:rsid w:val="00432031"/>
    <w:rsid w:val="00490B00"/>
    <w:rsid w:val="004B22B1"/>
    <w:rsid w:val="004C0C53"/>
    <w:rsid w:val="004F7C65"/>
    <w:rsid w:val="0052633F"/>
    <w:rsid w:val="005646AE"/>
    <w:rsid w:val="005B1C04"/>
    <w:rsid w:val="005D1435"/>
    <w:rsid w:val="00600BE4"/>
    <w:rsid w:val="00640095"/>
    <w:rsid w:val="006B173F"/>
    <w:rsid w:val="00746691"/>
    <w:rsid w:val="0076578B"/>
    <w:rsid w:val="0078315A"/>
    <w:rsid w:val="00785010"/>
    <w:rsid w:val="00787F7E"/>
    <w:rsid w:val="00854326"/>
    <w:rsid w:val="00877498"/>
    <w:rsid w:val="008B2A03"/>
    <w:rsid w:val="008D56A6"/>
    <w:rsid w:val="009012A8"/>
    <w:rsid w:val="00923290"/>
    <w:rsid w:val="009335E3"/>
    <w:rsid w:val="009B3876"/>
    <w:rsid w:val="009C623D"/>
    <w:rsid w:val="00A305E0"/>
    <w:rsid w:val="00A431A9"/>
    <w:rsid w:val="00A50DE2"/>
    <w:rsid w:val="00AC3402"/>
    <w:rsid w:val="00AE52E3"/>
    <w:rsid w:val="00B14660"/>
    <w:rsid w:val="00BC45A9"/>
    <w:rsid w:val="00BD1946"/>
    <w:rsid w:val="00BD665B"/>
    <w:rsid w:val="00BE4198"/>
    <w:rsid w:val="00C06109"/>
    <w:rsid w:val="00C55165"/>
    <w:rsid w:val="00C56EB4"/>
    <w:rsid w:val="00C714A6"/>
    <w:rsid w:val="00C734FF"/>
    <w:rsid w:val="00CA1AFE"/>
    <w:rsid w:val="00CA5C4A"/>
    <w:rsid w:val="00CB0E6F"/>
    <w:rsid w:val="00D06929"/>
    <w:rsid w:val="00D240EE"/>
    <w:rsid w:val="00D81544"/>
    <w:rsid w:val="00DB6198"/>
    <w:rsid w:val="00E02F4C"/>
    <w:rsid w:val="00E04BE0"/>
    <w:rsid w:val="00E216A6"/>
    <w:rsid w:val="00E34027"/>
    <w:rsid w:val="00E549B9"/>
    <w:rsid w:val="00E64C9C"/>
    <w:rsid w:val="00E74EFA"/>
    <w:rsid w:val="00EE27EB"/>
    <w:rsid w:val="00EE501D"/>
    <w:rsid w:val="00F22BC2"/>
    <w:rsid w:val="00F36625"/>
    <w:rsid w:val="00F74074"/>
    <w:rsid w:val="00FF3101"/>
    <w:rsid w:val="02B47679"/>
    <w:rsid w:val="14143AA2"/>
    <w:rsid w:val="1AAE7836"/>
    <w:rsid w:val="1D66727F"/>
    <w:rsid w:val="1E6F1D37"/>
    <w:rsid w:val="23C675AE"/>
    <w:rsid w:val="29226757"/>
    <w:rsid w:val="39E33A85"/>
    <w:rsid w:val="43367956"/>
    <w:rsid w:val="501771E7"/>
    <w:rsid w:val="5F8E7095"/>
    <w:rsid w:val="6F44378E"/>
    <w:rsid w:val="713C166F"/>
    <w:rsid w:val="78711F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818</Words>
  <Characters>843</Characters>
  <Lines>28</Lines>
  <Paragraphs>28</Paragraphs>
  <TotalTime>60</TotalTime>
  <ScaleCrop>false</ScaleCrop>
  <LinksUpToDate>false</LinksUpToDate>
  <CharactersWithSpaces>851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2022-09-02T09:41:00Z</dcterms:created>
  <dc:creator>连</dc:creator>
  <cp:lastModifiedBy>悦北</cp:lastModifiedBy>
  <dcterms:modified xsi:type="dcterms:W3CDTF">2026-07-27T06:48:09Z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eyJoZGlkIjoiYTBhNjgxNjllMmJhZmE3NjYxM2UwNWY5NTVjMWQ2NWQiLCJ1c2VySWQiOiIxMTUxODkwMTE2In0=</vt:lpwstr>
  </property>
  <property fmtid="{D5CDD505-2E9C-101B-9397-08002B2CF9AE}" pid="4" name="ICV">
    <vt:lpwstr>E2336522ABB948DBBD25792EF3CEC1F9_12</vt:lpwstr>
  </property>
</Properties>
</file>