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spacing w:before="0" w:beforeAutospacing="0" w:after="0" w:afterAutospacing="0" w:line="600" w:lineRule="exact"/>
        <w:jc w:val="center"/>
        <w:outlineLvl w:val="0"/>
        <w:rPr>
          <w:rStyle w:val="5"/>
          <w:rFonts w:hint="eastAsia" w:ascii="方正小标宋简体" w:hAnsi="Arial" w:eastAsia="方正小标宋简体" w:cs="Arial"/>
          <w:sz w:val="44"/>
          <w:szCs w:val="36"/>
          <w:lang w:eastAsia="zh-CN"/>
        </w:rPr>
      </w:pPr>
      <w:r>
        <w:rPr>
          <w:rStyle w:val="5"/>
          <w:rFonts w:hint="eastAsia" w:ascii="方正小标宋简体" w:hAnsi="Arial" w:eastAsia="方正小标宋简体" w:cs="Arial"/>
          <w:sz w:val="44"/>
          <w:szCs w:val="36"/>
        </w:rPr>
        <w:t>硕士研究生入学考试大纲</w:t>
      </w:r>
    </w:p>
    <w:p>
      <w:pPr>
        <w:pStyle w:val="2"/>
        <w:shd w:val="clear" w:color="auto"/>
        <w:spacing w:before="0" w:beforeAutospacing="0" w:after="0" w:afterAutospacing="0" w:line="600" w:lineRule="exact"/>
        <w:jc w:val="center"/>
        <w:outlineLvl w:val="0"/>
        <w:rPr>
          <w:rFonts w:hint="eastAsia" w:ascii="方正小标宋简体" w:hAnsi="Arial" w:eastAsia="方正小标宋简体" w:cs="Arial"/>
          <w:sz w:val="44"/>
          <w:szCs w:val="36"/>
        </w:rPr>
      </w:pPr>
      <w:r>
        <w:rPr>
          <w:rFonts w:hint="eastAsia" w:ascii="方正小标宋简体" w:hAnsi="Arial" w:eastAsia="方正小标宋简体" w:cs="Arial"/>
          <w:sz w:val="44"/>
          <w:szCs w:val="36"/>
        </w:rPr>
        <w:t>《</w:t>
      </w:r>
      <w:r>
        <w:rPr>
          <w:rFonts w:hint="eastAsia" w:ascii="方正小标宋简体" w:hAnsi="Arial" w:eastAsia="方正小标宋简体" w:cs="Arial"/>
          <w:sz w:val="44"/>
          <w:szCs w:val="36"/>
          <w:lang w:val="en-US" w:eastAsia="zh-CN"/>
        </w:rPr>
        <w:t>620 英语写作与翻译</w:t>
      </w:r>
      <w:r>
        <w:rPr>
          <w:rFonts w:hint="eastAsia" w:ascii="方正小标宋简体" w:hAnsi="Arial" w:eastAsia="方正小标宋简体" w:cs="Arial"/>
          <w:sz w:val="44"/>
          <w:szCs w:val="36"/>
        </w:rPr>
        <w:t>》</w:t>
      </w:r>
    </w:p>
    <w:p>
      <w:pPr>
        <w:pStyle w:val="2"/>
        <w:shd w:val="clear" w:color="auto"/>
        <w:spacing w:before="0" w:beforeAutospacing="0" w:after="0" w:afterAutospacing="0" w:line="600" w:lineRule="exact"/>
        <w:jc w:val="center"/>
        <w:rPr>
          <w:rFonts w:ascii="方正小标宋简体" w:hAnsi="Arial" w:eastAsia="方正小标宋简体" w:cs="Arial"/>
          <w:sz w:val="44"/>
          <w:szCs w:val="36"/>
        </w:rPr>
      </w:pPr>
    </w:p>
    <w:p>
      <w:pPr>
        <w:pStyle w:val="2"/>
        <w:numPr>
          <w:ilvl w:val="0"/>
          <w:numId w:val="1"/>
        </w:numPr>
        <w:shd w:val="clear" w:color="auto"/>
        <w:spacing w:before="0" w:beforeAutospacing="0" w:after="0" w:afterAutospacing="0" w:line="560" w:lineRule="exact"/>
        <w:ind w:left="0" w:firstLine="643" w:firstLineChars="200"/>
        <w:outlineLvl w:val="1"/>
        <w:rPr>
          <w:rFonts w:hint="eastAsia" w:ascii="SimHei" w:hAnsi="SimHei" w:eastAsia="SimHei" w:cs="Arial"/>
          <w:sz w:val="32"/>
          <w:szCs w:val="32"/>
        </w:rPr>
      </w:pPr>
      <w:r>
        <w:rPr>
          <w:rStyle w:val="5"/>
          <w:rFonts w:hint="eastAsia" w:ascii="SimHei" w:hAnsi="SimHei" w:eastAsia="SimHei" w:cs="Arial"/>
          <w:sz w:val="32"/>
          <w:szCs w:val="32"/>
        </w:rPr>
        <w:t>考试性质</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《英语写作与翻译》</w:t>
      </w:r>
      <w:r>
        <w:rPr>
          <w:rFonts w:hint="eastAsia" w:ascii="仿宋_GB2312" w:hAnsi="Arial" w:eastAsia="仿宋_GB2312" w:cs="Arial"/>
          <w:sz w:val="32"/>
          <w:szCs w:val="32"/>
        </w:rPr>
        <w:t>是为招收英语语言文学</w:t>
      </w:r>
      <w:r>
        <w:rPr>
          <w:rFonts w:hint="eastAsia" w:ascii="仿宋_GB2312" w:hAnsi="Arial" w:eastAsia="仿宋_GB2312" w:cs="Arial"/>
          <w:sz w:val="32"/>
          <w:szCs w:val="32"/>
          <w:lang w:val="en-US" w:eastAsia="zh-CN"/>
        </w:rPr>
        <w:t>和</w:t>
      </w:r>
      <w:r>
        <w:rPr>
          <w:rFonts w:hint="eastAsia" w:ascii="仿宋_GB2312" w:hAnsi="Arial" w:eastAsia="仿宋_GB2312" w:cs="Arial"/>
          <w:sz w:val="32"/>
          <w:szCs w:val="32"/>
        </w:rPr>
        <w:t>外国语言学及应用语言学硕士研究生而设置的具有选拔性质的统考科目。其目的是科学、公平、有效地测量考生</w:t>
      </w:r>
      <w:r>
        <w:rPr>
          <w:rFonts w:hint="eastAsia" w:ascii="仿宋_GB2312" w:hAnsi="Arial" w:eastAsia="仿宋_GB2312" w:cs="Arial"/>
          <w:sz w:val="32"/>
          <w:szCs w:val="32"/>
          <w:lang w:val="en-US" w:eastAsia="zh-CN"/>
        </w:rPr>
        <w:t>英汉双语基本功和双语转换的能力及潜质，以及</w:t>
      </w:r>
      <w:r>
        <w:rPr>
          <w:rFonts w:hint="eastAsia" w:ascii="仿宋_GB2312" w:hAnsi="Arial" w:eastAsia="仿宋_GB2312" w:cs="Arial"/>
          <w:sz w:val="32"/>
          <w:szCs w:val="32"/>
        </w:rPr>
        <w:t>运用英语进行学术分析</w:t>
      </w:r>
      <w:r>
        <w:rPr>
          <w:rFonts w:hint="eastAsia" w:ascii="仿宋_GB2312" w:hAnsi="Arial" w:eastAsia="仿宋_GB2312" w:cs="Arial"/>
          <w:sz w:val="32"/>
          <w:szCs w:val="32"/>
          <w:lang w:eastAsia="zh-CN"/>
        </w:rPr>
        <w:t>、</w:t>
      </w:r>
      <w:r>
        <w:rPr>
          <w:rFonts w:hint="eastAsia" w:ascii="仿宋_GB2312" w:hAnsi="Arial" w:eastAsia="仿宋_GB2312" w:cs="Arial"/>
          <w:sz w:val="32"/>
          <w:szCs w:val="32"/>
        </w:rPr>
        <w:t>批评阐释的能力。评价的标准是高等学校英语专业优秀本科毕业生所能达到的及格或及格以上水平，以保证被录取者具有较高的英语写作水平和梳理、分析、阐释专业语料的能力。考试结果为外国语学院录取硕士研究生提供重要参考依据</w:t>
      </w:r>
      <w:r>
        <w:rPr>
          <w:rFonts w:hint="eastAsia" w:ascii="仿宋_GB2312" w:hAnsi="Arial" w:eastAsia="仿宋_GB2312" w:cs="Arial"/>
          <w:sz w:val="32"/>
          <w:szCs w:val="32"/>
          <w:lang w:eastAsia="zh-CN"/>
        </w:rPr>
        <w:t>，</w:t>
      </w:r>
      <w:r>
        <w:rPr>
          <w:rFonts w:hint="eastAsia" w:ascii="仿宋_GB2312" w:hAnsi="Arial" w:eastAsia="仿宋_GB2312" w:cs="Arial"/>
          <w:sz w:val="32"/>
          <w:szCs w:val="32"/>
          <w:lang w:val="en-US" w:eastAsia="zh-CN"/>
        </w:rPr>
        <w:t>以确保</w:t>
      </w:r>
      <w:r>
        <w:rPr>
          <w:rFonts w:hint="eastAsia" w:ascii="仿宋_GB2312" w:hAnsi="Arial" w:eastAsia="仿宋_GB2312" w:cs="Arial"/>
          <w:sz w:val="32"/>
          <w:szCs w:val="32"/>
        </w:rPr>
        <w:t>硕士研究生的招生质量。</w:t>
      </w:r>
    </w:p>
    <w:p>
      <w:pPr>
        <w:pStyle w:val="2"/>
        <w:numPr>
          <w:ilvl w:val="0"/>
          <w:numId w:val="1"/>
        </w:numPr>
        <w:shd w:val="clear" w:color="auto"/>
        <w:spacing w:before="0" w:beforeAutospacing="0" w:after="0" w:afterAutospacing="0" w:line="560" w:lineRule="exact"/>
        <w:ind w:left="0" w:firstLine="643" w:firstLineChars="200"/>
        <w:outlineLvl w:val="1"/>
        <w:rPr>
          <w:rStyle w:val="5"/>
          <w:rFonts w:ascii="SimHei" w:hAnsi="SimHei" w:eastAsia="SimHei" w:cs="Arial"/>
          <w:sz w:val="32"/>
          <w:szCs w:val="32"/>
        </w:rPr>
      </w:pPr>
      <w:r>
        <w:rPr>
          <w:rStyle w:val="5"/>
          <w:rFonts w:hint="eastAsia" w:ascii="SimHei" w:hAnsi="SimHei" w:eastAsia="SimHei" w:cs="Arial"/>
          <w:sz w:val="32"/>
          <w:szCs w:val="32"/>
        </w:rPr>
        <w:t>考查目标</w:t>
      </w:r>
    </w:p>
    <w:p>
      <w:pPr>
        <w:pStyle w:val="2"/>
        <w:numPr>
          <w:ilvl w:val="0"/>
          <w:numId w:val="2"/>
        </w:numPr>
        <w:shd w:val="clear" w:color="auto"/>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具备良好的汉语和英语基础知识，能准确使用双语理解、表达见解，尤其能准确理解、阐释语料中的学理性问题和观点，表现出较强的双语文字表达力。</w:t>
      </w:r>
    </w:p>
    <w:p>
      <w:pPr>
        <w:pStyle w:val="2"/>
        <w:numPr>
          <w:ilvl w:val="0"/>
          <w:numId w:val="2"/>
        </w:numPr>
        <w:shd w:val="clear" w:color="auto"/>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具备分析、思辨和评价能力，能从语料中准确提炼观点，并展开归纳和评价，有较强的逻辑分析和推理评价能力。</w:t>
      </w:r>
    </w:p>
    <w:p>
      <w:pPr>
        <w:pStyle w:val="2"/>
        <w:numPr>
          <w:ilvl w:val="0"/>
          <w:numId w:val="1"/>
        </w:numPr>
        <w:shd w:val="clear" w:color="auto"/>
        <w:spacing w:before="0" w:beforeAutospacing="0" w:after="0" w:afterAutospacing="0" w:line="560" w:lineRule="exact"/>
        <w:ind w:left="0" w:firstLine="643" w:firstLineChars="200"/>
        <w:outlineLvl w:val="1"/>
        <w:rPr>
          <w:rStyle w:val="5"/>
          <w:rFonts w:ascii="SimHei" w:hAnsi="SimHei" w:eastAsia="SimHei" w:cs="Arial"/>
          <w:sz w:val="32"/>
          <w:szCs w:val="32"/>
        </w:rPr>
      </w:pPr>
      <w:r>
        <w:rPr>
          <w:rStyle w:val="5"/>
          <w:rFonts w:hint="eastAsia" w:ascii="SimHei" w:hAnsi="SimHei" w:eastAsia="SimHei" w:cs="Arial"/>
          <w:sz w:val="32"/>
          <w:szCs w:val="32"/>
        </w:rPr>
        <w:t>考试形式和试卷结构</w:t>
      </w:r>
    </w:p>
    <w:p>
      <w:pPr>
        <w:pStyle w:val="2"/>
        <w:shd w:val="clear" w:color="auto"/>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（一）试卷满分及考试时间</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试卷满分为150分，考试时间为180分钟。</w:t>
      </w:r>
    </w:p>
    <w:p>
      <w:pPr>
        <w:pStyle w:val="2"/>
        <w:shd w:val="clear" w:color="auto"/>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（二）答题方式</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答题方式为闭卷、笔试。不允许使用</w:t>
      </w:r>
      <w:r>
        <w:rPr>
          <w:rFonts w:hint="eastAsia" w:ascii="仿宋_GB2312" w:hAnsi="Arial" w:eastAsia="仿宋_GB2312" w:cs="Arial"/>
          <w:sz w:val="32"/>
          <w:szCs w:val="32"/>
          <w:lang w:val="en-US" w:eastAsia="zh-CN"/>
        </w:rPr>
        <w:t>工具书、电子设备等</w:t>
      </w:r>
      <w:r>
        <w:rPr>
          <w:rFonts w:hint="eastAsia" w:ascii="仿宋_GB2312" w:hAnsi="Arial" w:eastAsia="仿宋_GB2312" w:cs="Arial"/>
          <w:sz w:val="32"/>
          <w:szCs w:val="32"/>
        </w:rPr>
        <w:t>。</w:t>
      </w:r>
    </w:p>
    <w:p>
      <w:pPr>
        <w:pStyle w:val="2"/>
        <w:shd w:val="clear" w:color="auto"/>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rPr>
        <w:t>（三）试卷包含内容</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lang w:eastAsia="zh-CN"/>
        </w:rPr>
      </w:pPr>
      <w:r>
        <w:rPr>
          <w:rFonts w:hint="eastAsia" w:ascii="仿宋_GB2312" w:hAnsi="Arial" w:eastAsia="仿宋_GB2312" w:cs="Arial"/>
          <w:sz w:val="32"/>
          <w:szCs w:val="32"/>
          <w:lang w:val="en-US" w:eastAsia="zh-CN"/>
        </w:rPr>
        <w:t>英译汉</w:t>
      </w:r>
      <w:r>
        <w:rPr>
          <w:rFonts w:hint="eastAsia" w:ascii="仿宋_GB2312" w:hAnsi="Arial" w:eastAsia="仿宋_GB2312" w:cs="Arial"/>
          <w:sz w:val="32"/>
          <w:szCs w:val="32"/>
        </w:rPr>
        <w:t>：</w:t>
      </w:r>
      <w:r>
        <w:rPr>
          <w:rFonts w:hint="eastAsia" w:ascii="仿宋_GB2312" w:hAnsi="Arial" w:eastAsia="仿宋_GB2312" w:cs="Arial"/>
          <w:sz w:val="32"/>
          <w:szCs w:val="32"/>
          <w:lang w:val="en-US" w:eastAsia="zh-CN"/>
        </w:rPr>
        <w:t>1</w:t>
      </w:r>
      <w:r>
        <w:rPr>
          <w:rFonts w:hint="eastAsia" w:ascii="仿宋_GB2312" w:hAnsi="Arial" w:eastAsia="仿宋_GB2312" w:cs="Arial"/>
          <w:sz w:val="32"/>
          <w:szCs w:val="32"/>
        </w:rPr>
        <w:t>题，共</w:t>
      </w:r>
      <w:r>
        <w:rPr>
          <w:rFonts w:hint="eastAsia" w:ascii="仿宋_GB2312" w:hAnsi="Arial" w:eastAsia="仿宋_GB2312" w:cs="Arial"/>
          <w:sz w:val="32"/>
          <w:szCs w:val="32"/>
          <w:lang w:val="en-US" w:eastAsia="zh-CN"/>
        </w:rPr>
        <w:t>35</w:t>
      </w:r>
      <w:r>
        <w:rPr>
          <w:rFonts w:hint="eastAsia" w:ascii="仿宋_GB2312" w:hAnsi="Arial" w:eastAsia="仿宋_GB2312" w:cs="Arial"/>
          <w:sz w:val="32"/>
          <w:szCs w:val="32"/>
        </w:rPr>
        <w:t>分</w:t>
      </w:r>
      <w:r>
        <w:rPr>
          <w:rFonts w:hint="eastAsia" w:ascii="仿宋_GB2312" w:hAnsi="Arial" w:eastAsia="仿宋_GB2312" w:cs="Arial"/>
          <w:sz w:val="32"/>
          <w:szCs w:val="32"/>
          <w:lang w:eastAsia="zh-CN"/>
        </w:rPr>
        <w:t>，</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lang w:eastAsia="zh-CN"/>
        </w:rPr>
      </w:pPr>
      <w:r>
        <w:rPr>
          <w:rFonts w:hint="eastAsia" w:ascii="仿宋_GB2312" w:hAnsi="Arial" w:eastAsia="仿宋_GB2312" w:cs="Arial"/>
          <w:sz w:val="32"/>
          <w:szCs w:val="32"/>
          <w:lang w:val="en-US" w:eastAsia="zh-CN"/>
        </w:rPr>
        <w:t>汉译英</w:t>
      </w:r>
      <w:r>
        <w:rPr>
          <w:rFonts w:hint="eastAsia" w:ascii="仿宋_GB2312" w:hAnsi="Arial" w:eastAsia="仿宋_GB2312" w:cs="Arial"/>
          <w:sz w:val="32"/>
          <w:szCs w:val="32"/>
        </w:rPr>
        <w:t>：</w:t>
      </w:r>
      <w:r>
        <w:rPr>
          <w:rFonts w:hint="eastAsia" w:ascii="仿宋_GB2312" w:hAnsi="Arial" w:eastAsia="仿宋_GB2312" w:cs="Arial"/>
          <w:sz w:val="32"/>
          <w:szCs w:val="32"/>
          <w:lang w:val="en-US" w:eastAsia="zh-CN"/>
        </w:rPr>
        <w:t>1</w:t>
      </w:r>
      <w:r>
        <w:rPr>
          <w:rFonts w:hint="eastAsia" w:ascii="仿宋_GB2312" w:hAnsi="Arial" w:eastAsia="仿宋_GB2312" w:cs="Arial"/>
          <w:sz w:val="32"/>
          <w:szCs w:val="32"/>
        </w:rPr>
        <w:t>题，共40分</w:t>
      </w:r>
      <w:r>
        <w:rPr>
          <w:rFonts w:hint="eastAsia" w:ascii="仿宋_GB2312" w:hAnsi="Arial" w:eastAsia="仿宋_GB2312" w:cs="Arial"/>
          <w:sz w:val="32"/>
          <w:szCs w:val="32"/>
          <w:lang w:eastAsia="zh-CN"/>
        </w:rPr>
        <w:t>，</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论说文</w:t>
      </w:r>
      <w:r>
        <w:rPr>
          <w:rFonts w:hint="eastAsia" w:ascii="仿宋_GB2312" w:hAnsi="Arial" w:eastAsia="仿宋_GB2312" w:cs="Arial"/>
          <w:sz w:val="32"/>
          <w:szCs w:val="32"/>
        </w:rPr>
        <w:t>写作：</w:t>
      </w:r>
      <w:r>
        <w:rPr>
          <w:rFonts w:hint="eastAsia" w:ascii="仿宋_GB2312" w:hAnsi="Arial" w:eastAsia="仿宋_GB2312" w:cs="Arial"/>
          <w:sz w:val="32"/>
          <w:szCs w:val="32"/>
          <w:lang w:val="en-US" w:eastAsia="zh-CN"/>
        </w:rPr>
        <w:t>1</w:t>
      </w:r>
      <w:r>
        <w:rPr>
          <w:rFonts w:hint="eastAsia" w:ascii="仿宋_GB2312" w:hAnsi="Arial" w:eastAsia="仿宋_GB2312" w:cs="Arial"/>
          <w:sz w:val="32"/>
          <w:szCs w:val="32"/>
        </w:rPr>
        <w:t>题，共</w:t>
      </w:r>
      <w:r>
        <w:rPr>
          <w:rFonts w:hint="eastAsia" w:ascii="仿宋_GB2312" w:hAnsi="Arial" w:eastAsia="仿宋_GB2312" w:cs="Arial"/>
          <w:sz w:val="32"/>
          <w:szCs w:val="32"/>
          <w:lang w:val="en-US" w:eastAsia="zh-CN"/>
        </w:rPr>
        <w:t>35</w:t>
      </w:r>
      <w:r>
        <w:rPr>
          <w:rFonts w:hint="eastAsia" w:ascii="仿宋_GB2312" w:hAnsi="Arial" w:eastAsia="仿宋_GB2312" w:cs="Arial"/>
          <w:sz w:val="32"/>
          <w:szCs w:val="32"/>
        </w:rPr>
        <w:t>分，</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学术评述</w:t>
      </w:r>
      <w:r>
        <w:rPr>
          <w:rFonts w:hint="eastAsia" w:ascii="仿宋_GB2312" w:hAnsi="Arial" w:eastAsia="仿宋_GB2312" w:cs="Arial"/>
          <w:sz w:val="32"/>
          <w:szCs w:val="32"/>
          <w:lang w:eastAsia="zh-CN"/>
        </w:rPr>
        <w:t>：</w:t>
      </w:r>
      <w:r>
        <w:rPr>
          <w:rFonts w:hint="eastAsia" w:ascii="仿宋_GB2312" w:hAnsi="Arial" w:eastAsia="仿宋_GB2312" w:cs="Arial"/>
          <w:sz w:val="32"/>
          <w:szCs w:val="32"/>
          <w:lang w:val="en-US" w:eastAsia="zh-CN"/>
        </w:rPr>
        <w:t>1题，</w:t>
      </w:r>
      <w:r>
        <w:rPr>
          <w:rFonts w:hint="eastAsia" w:ascii="仿宋_GB2312" w:hAnsi="Arial" w:eastAsia="仿宋_GB2312" w:cs="Arial"/>
          <w:sz w:val="32"/>
          <w:szCs w:val="32"/>
        </w:rPr>
        <w:t>共40分。</w:t>
      </w:r>
    </w:p>
    <w:p>
      <w:pPr>
        <w:pStyle w:val="2"/>
        <w:numPr>
          <w:ilvl w:val="0"/>
          <w:numId w:val="1"/>
        </w:numPr>
        <w:shd w:val="clear" w:color="auto"/>
        <w:spacing w:before="0" w:beforeAutospacing="0" w:after="0" w:afterAutospacing="0" w:line="560" w:lineRule="exact"/>
        <w:ind w:left="0" w:firstLine="643" w:firstLineChars="200"/>
        <w:outlineLvl w:val="1"/>
        <w:rPr>
          <w:rStyle w:val="5"/>
          <w:rFonts w:ascii="SimHei" w:hAnsi="SimHei" w:eastAsia="SimHei" w:cs="Arial"/>
          <w:sz w:val="32"/>
          <w:szCs w:val="32"/>
        </w:rPr>
      </w:pPr>
      <w:r>
        <w:rPr>
          <w:rStyle w:val="5"/>
          <w:rFonts w:hint="eastAsia" w:ascii="SimHei" w:hAnsi="SimHei" w:eastAsia="SimHei" w:cs="Arial"/>
          <w:sz w:val="32"/>
          <w:szCs w:val="32"/>
          <w:lang w:eastAsia="zh-CN"/>
        </w:rPr>
        <w:t>考</w:t>
      </w:r>
      <w:r>
        <w:rPr>
          <w:rStyle w:val="5"/>
          <w:rFonts w:hint="eastAsia" w:ascii="SimHei" w:hAnsi="SimHei" w:eastAsia="SimHei" w:cs="Arial"/>
          <w:sz w:val="32"/>
          <w:szCs w:val="32"/>
        </w:rPr>
        <w:t>查内容</w:t>
      </w:r>
    </w:p>
    <w:p>
      <w:pPr>
        <w:pStyle w:val="2"/>
        <w:shd w:val="clear" w:color="auto"/>
        <w:spacing w:before="0" w:beforeAutospacing="0" w:after="0" w:afterAutospacing="0" w:line="560" w:lineRule="exact"/>
        <w:ind w:firstLine="643" w:firstLineChars="200"/>
        <w:rPr>
          <w:rFonts w:hint="eastAsia" w:ascii="仿宋_GB2312" w:hAnsi="Arial" w:eastAsia="仿宋_GB2312" w:cs="Arial"/>
          <w:sz w:val="32"/>
          <w:szCs w:val="32"/>
          <w:lang w:val="en-US"/>
        </w:rPr>
      </w:pPr>
      <w:r>
        <w:rPr>
          <w:rStyle w:val="5"/>
          <w:rFonts w:hint="eastAsia" w:ascii="仿宋_GB2312" w:hAnsi="Arial" w:eastAsia="仿宋_GB2312" w:cs="Arial"/>
          <w:sz w:val="32"/>
          <w:szCs w:val="32"/>
        </w:rPr>
        <w:t>（一）</w:t>
      </w:r>
      <w:r>
        <w:rPr>
          <w:rStyle w:val="5"/>
          <w:rFonts w:hint="eastAsia" w:ascii="仿宋_GB2312" w:hAnsi="Arial" w:eastAsia="仿宋_GB2312" w:cs="Arial"/>
          <w:sz w:val="32"/>
          <w:szCs w:val="32"/>
          <w:lang w:val="en-US" w:eastAsia="zh-CN"/>
        </w:rPr>
        <w:t>英汉双语基础</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双语基础部分主要考查汉语和英语时政、学术词汇和语法、篇章组织等语言和文化知识的掌握和运用能力。评估考生理解对象语料的准确性和语言表达力：翻译时内容的忠实性和语言表达适切性；写作时内容的切题度、丰富性，组织结构的规范性和语言表达的适切性。</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试题涉及的内容为：</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英汉互译题语料主要是时政类文本和人文学科学术类文本，英译汉和汉译英各一段，汉语200字左右，英语200词左右。</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写作题为命题作文，语料为任一文类话题，350词左右，按要求根据语料内容写作。</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lang w:val="en-US" w:eastAsia="zh-CN"/>
        </w:rPr>
      </w:pPr>
      <w:r>
        <w:rPr>
          <w:rFonts w:hint="eastAsia" w:ascii="仿宋_GB2312" w:hAnsi="Arial" w:eastAsia="仿宋_GB2312" w:cs="Arial"/>
          <w:sz w:val="32"/>
          <w:szCs w:val="32"/>
          <w:lang w:val="en-US" w:eastAsia="zh-CN"/>
        </w:rPr>
        <w:t>学术评述题语料涉及英美文学、文化、语言学、翻译学等外国语言文学学科内常见话题，不涉及特殊知识。</w:t>
      </w:r>
    </w:p>
    <w:p>
      <w:pPr>
        <w:pStyle w:val="2"/>
        <w:numPr>
          <w:ilvl w:val="0"/>
          <w:numId w:val="3"/>
        </w:numPr>
        <w:shd w:val="clear" w:color="auto"/>
        <w:spacing w:before="0" w:beforeAutospacing="0" w:after="0" w:afterAutospacing="0" w:line="560" w:lineRule="exact"/>
        <w:ind w:firstLine="643" w:firstLineChars="200"/>
        <w:rPr>
          <w:rStyle w:val="5"/>
          <w:rFonts w:hint="eastAsia" w:ascii="仿宋_GB2312" w:hAnsi="Arial" w:eastAsia="仿宋_GB2312" w:cs="Arial"/>
          <w:sz w:val="32"/>
          <w:szCs w:val="32"/>
          <w:lang w:val="en-US" w:eastAsia="zh-CN"/>
        </w:rPr>
      </w:pPr>
      <w:r>
        <w:rPr>
          <w:rStyle w:val="5"/>
          <w:rFonts w:hint="eastAsia" w:ascii="仿宋_GB2312" w:hAnsi="Arial" w:eastAsia="仿宋_GB2312" w:cs="Arial"/>
          <w:sz w:val="32"/>
          <w:szCs w:val="32"/>
          <w:lang w:val="en-US" w:eastAsia="zh-CN"/>
        </w:rPr>
        <w:t>分析阐释和思辨评价</w:t>
      </w:r>
    </w:p>
    <w:p>
      <w:pPr>
        <w:pStyle w:val="2"/>
        <w:shd w:val="clear" w:color="auto"/>
        <w:spacing w:before="0" w:beforeAutospacing="0" w:after="0" w:afterAutospacing="0" w:line="560" w:lineRule="exact"/>
        <w:ind w:firstLine="643" w:firstLineChars="200"/>
        <w:rPr>
          <w:rFonts w:hint="eastAsia" w:ascii="仿宋_GB2312" w:hAnsi="Arial" w:eastAsia="仿宋_GB2312" w:cs="Arial"/>
          <w:sz w:val="32"/>
          <w:szCs w:val="32"/>
        </w:rPr>
      </w:pPr>
      <w:r>
        <w:rPr>
          <w:rStyle w:val="5"/>
          <w:rFonts w:hint="eastAsia" w:ascii="仿宋_GB2312" w:hAnsi="Arial" w:eastAsia="仿宋_GB2312" w:cs="Arial"/>
          <w:sz w:val="32"/>
          <w:szCs w:val="32"/>
          <w:lang w:val="en-US" w:eastAsia="zh-CN"/>
        </w:rPr>
        <w:t xml:space="preserve"> </w:t>
      </w:r>
      <w:r>
        <w:rPr>
          <w:rFonts w:hint="eastAsia" w:ascii="仿宋_GB2312" w:hAnsi="Arial" w:eastAsia="仿宋_GB2312" w:cs="Arial"/>
          <w:sz w:val="32"/>
          <w:szCs w:val="32"/>
        </w:rPr>
        <w:t>分析阐释和思辨评价</w:t>
      </w:r>
      <w:r>
        <w:rPr>
          <w:rFonts w:hint="eastAsia" w:ascii="仿宋_GB2312" w:hAnsi="Arial" w:eastAsia="仿宋_GB2312" w:cs="Arial"/>
          <w:sz w:val="32"/>
          <w:szCs w:val="32"/>
          <w:lang w:val="en-US" w:eastAsia="zh-CN"/>
        </w:rPr>
        <w:t>部分</w:t>
      </w:r>
      <w:r>
        <w:rPr>
          <w:rFonts w:hint="eastAsia" w:ascii="仿宋_GB2312" w:hAnsi="Arial" w:eastAsia="仿宋_GB2312" w:cs="Arial"/>
          <w:sz w:val="32"/>
          <w:szCs w:val="32"/>
        </w:rPr>
        <w:t>主要考查考生对各种</w:t>
      </w:r>
      <w:r>
        <w:rPr>
          <w:rFonts w:hint="eastAsia" w:ascii="仿宋_GB2312" w:hAnsi="Arial" w:eastAsia="仿宋_GB2312" w:cs="Arial"/>
          <w:sz w:val="32"/>
          <w:szCs w:val="32"/>
          <w:lang w:val="en-US" w:eastAsia="zh-CN"/>
        </w:rPr>
        <w:t>语料</w:t>
      </w:r>
      <w:r>
        <w:rPr>
          <w:rFonts w:hint="eastAsia" w:ascii="仿宋_GB2312" w:hAnsi="Arial" w:eastAsia="仿宋_GB2312" w:cs="Arial"/>
          <w:sz w:val="32"/>
          <w:szCs w:val="32"/>
        </w:rPr>
        <w:t>信息的理解、分析、综合和判断，并进行推理、论证、比较、评价</w:t>
      </w:r>
      <w:r>
        <w:rPr>
          <w:rFonts w:hint="eastAsia" w:ascii="仿宋_GB2312" w:hAnsi="Arial" w:eastAsia="仿宋_GB2312" w:cs="Arial"/>
          <w:sz w:val="32"/>
          <w:szCs w:val="32"/>
          <w:lang w:val="en-US" w:eastAsia="zh-CN"/>
        </w:rPr>
        <w:t>的</w:t>
      </w:r>
      <w:r>
        <w:rPr>
          <w:rFonts w:hint="eastAsia" w:ascii="仿宋_GB2312" w:hAnsi="Arial" w:eastAsia="仿宋_GB2312" w:cs="Arial"/>
          <w:sz w:val="32"/>
          <w:szCs w:val="32"/>
        </w:rPr>
        <w:t>逻辑思维能力。</w:t>
      </w:r>
      <w:r>
        <w:rPr>
          <w:rFonts w:hint="eastAsia" w:ascii="仿宋_GB2312" w:hAnsi="Arial" w:eastAsia="仿宋_GB2312" w:cs="Arial"/>
          <w:sz w:val="32"/>
          <w:szCs w:val="32"/>
          <w:lang w:val="en-US" w:eastAsia="zh-CN"/>
        </w:rPr>
        <w:t>分析阐释能力</w:t>
      </w:r>
      <w:r>
        <w:rPr>
          <w:rFonts w:hint="eastAsia" w:ascii="仿宋_GB2312" w:hAnsi="Arial" w:eastAsia="仿宋_GB2312" w:cs="Arial"/>
          <w:sz w:val="32"/>
          <w:szCs w:val="32"/>
        </w:rPr>
        <w:t>评估考生提炼对象语料的中心论点、把握相关段落间逻辑关系等基本</w:t>
      </w:r>
      <w:r>
        <w:rPr>
          <w:rFonts w:hint="eastAsia" w:ascii="仿宋_GB2312" w:hAnsi="Arial" w:eastAsia="仿宋_GB2312" w:cs="Arial"/>
          <w:sz w:val="32"/>
          <w:szCs w:val="32"/>
          <w:lang w:val="en-US" w:eastAsia="zh-CN"/>
        </w:rPr>
        <w:t>的</w:t>
      </w:r>
      <w:r>
        <w:rPr>
          <w:rFonts w:hint="eastAsia" w:ascii="仿宋_GB2312" w:hAnsi="Arial" w:eastAsia="仿宋_GB2312" w:cs="Arial"/>
          <w:sz w:val="32"/>
          <w:szCs w:val="32"/>
        </w:rPr>
        <w:t>学术</w:t>
      </w:r>
      <w:r>
        <w:rPr>
          <w:rFonts w:hint="eastAsia" w:ascii="仿宋_GB2312" w:hAnsi="Arial" w:eastAsia="仿宋_GB2312" w:cs="Arial"/>
          <w:sz w:val="32"/>
          <w:szCs w:val="32"/>
          <w:lang w:val="en-US" w:eastAsia="zh-CN"/>
        </w:rPr>
        <w:t>识别、区分和归纳</w:t>
      </w:r>
      <w:r>
        <w:rPr>
          <w:rFonts w:hint="eastAsia" w:ascii="仿宋_GB2312" w:hAnsi="Arial" w:eastAsia="仿宋_GB2312" w:cs="Arial"/>
          <w:sz w:val="32"/>
          <w:szCs w:val="32"/>
        </w:rPr>
        <w:t>能力。思辨</w:t>
      </w:r>
      <w:r>
        <w:rPr>
          <w:rFonts w:hint="eastAsia" w:ascii="仿宋_GB2312" w:hAnsi="Arial" w:eastAsia="仿宋_GB2312" w:cs="Arial"/>
          <w:sz w:val="32"/>
          <w:szCs w:val="32"/>
          <w:lang w:val="en-US" w:eastAsia="zh-CN"/>
        </w:rPr>
        <w:t>评价</w:t>
      </w:r>
      <w:r>
        <w:rPr>
          <w:rFonts w:hint="eastAsia" w:ascii="仿宋_GB2312" w:hAnsi="Arial" w:eastAsia="仿宋_GB2312" w:cs="Arial"/>
          <w:sz w:val="32"/>
          <w:szCs w:val="32"/>
        </w:rPr>
        <w:t>能力评估考生对学术类</w:t>
      </w:r>
      <w:r>
        <w:rPr>
          <w:rFonts w:hint="eastAsia" w:ascii="仿宋_GB2312" w:hAnsi="Arial" w:eastAsia="仿宋_GB2312" w:cs="Arial"/>
          <w:sz w:val="32"/>
          <w:szCs w:val="32"/>
          <w:lang w:val="en-US" w:eastAsia="zh-CN"/>
        </w:rPr>
        <w:t>文本</w:t>
      </w:r>
      <w:r>
        <w:rPr>
          <w:rFonts w:hint="eastAsia" w:ascii="仿宋_GB2312" w:hAnsi="Arial" w:eastAsia="仿宋_GB2312" w:cs="Arial"/>
          <w:sz w:val="32"/>
          <w:szCs w:val="32"/>
        </w:rPr>
        <w:t>逻辑</w:t>
      </w:r>
      <w:r>
        <w:rPr>
          <w:rFonts w:hint="eastAsia" w:ascii="仿宋_GB2312" w:hAnsi="Arial" w:eastAsia="仿宋_GB2312" w:cs="Arial"/>
          <w:sz w:val="32"/>
          <w:szCs w:val="32"/>
          <w:lang w:val="en-US" w:eastAsia="zh-CN"/>
        </w:rPr>
        <w:t>的</w:t>
      </w:r>
      <w:r>
        <w:rPr>
          <w:rFonts w:hint="eastAsia" w:ascii="仿宋_GB2312" w:hAnsi="Arial" w:eastAsia="仿宋_GB2312" w:cs="Arial"/>
          <w:sz w:val="32"/>
          <w:szCs w:val="32"/>
        </w:rPr>
        <w:t>驾驭能力</w:t>
      </w:r>
      <w:r>
        <w:rPr>
          <w:rFonts w:hint="eastAsia" w:ascii="仿宋_GB2312" w:hAnsi="Arial" w:eastAsia="仿宋_GB2312" w:cs="Arial"/>
          <w:sz w:val="32"/>
          <w:szCs w:val="32"/>
          <w:lang w:eastAsia="zh-CN"/>
        </w:rPr>
        <w:t>，</w:t>
      </w:r>
      <w:r>
        <w:rPr>
          <w:rFonts w:hint="eastAsia" w:ascii="仿宋_GB2312" w:hAnsi="Arial" w:eastAsia="仿宋_GB2312" w:cs="Arial"/>
          <w:sz w:val="32"/>
          <w:szCs w:val="32"/>
          <w:lang w:val="en-US" w:eastAsia="zh-CN"/>
        </w:rPr>
        <w:t>对相应语料文本</w:t>
      </w:r>
      <w:r>
        <w:rPr>
          <w:rFonts w:hint="eastAsia" w:ascii="仿宋_GB2312" w:hAnsi="Arial" w:eastAsia="仿宋_GB2312" w:cs="Arial"/>
          <w:sz w:val="32"/>
          <w:szCs w:val="32"/>
        </w:rPr>
        <w:t>所体现的学理问题的敏感性，对</w:t>
      </w:r>
      <w:r>
        <w:rPr>
          <w:rFonts w:hint="eastAsia" w:ascii="仿宋_GB2312" w:hAnsi="Arial" w:eastAsia="仿宋_GB2312" w:cs="Arial"/>
          <w:sz w:val="32"/>
          <w:szCs w:val="32"/>
          <w:lang w:val="en-US" w:eastAsia="zh-CN"/>
        </w:rPr>
        <w:t>各主要观点的质疑、论证</w:t>
      </w:r>
      <w:r>
        <w:rPr>
          <w:rFonts w:hint="eastAsia" w:ascii="仿宋_GB2312" w:hAnsi="Arial" w:eastAsia="仿宋_GB2312" w:cs="Arial"/>
          <w:sz w:val="32"/>
          <w:szCs w:val="32"/>
        </w:rPr>
        <w:t>与评价</w:t>
      </w:r>
      <w:r>
        <w:rPr>
          <w:rFonts w:hint="eastAsia" w:ascii="仿宋_GB2312" w:hAnsi="Arial" w:eastAsia="仿宋_GB2312" w:cs="Arial"/>
          <w:sz w:val="32"/>
          <w:szCs w:val="32"/>
          <w:lang w:val="en-US" w:eastAsia="zh-CN"/>
        </w:rPr>
        <w:t>能力</w:t>
      </w:r>
      <w:r>
        <w:rPr>
          <w:rFonts w:hint="eastAsia" w:ascii="仿宋_GB2312" w:hAnsi="Arial" w:eastAsia="仿宋_GB2312" w:cs="Arial"/>
          <w:sz w:val="32"/>
          <w:szCs w:val="32"/>
        </w:rPr>
        <w:t>。</w:t>
      </w:r>
    </w:p>
    <w:p>
      <w:pPr>
        <w:pStyle w:val="2"/>
        <w:shd w:val="clear" w:color="auto"/>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试题内容涉及</w:t>
      </w:r>
      <w:r>
        <w:rPr>
          <w:rFonts w:hint="eastAsia" w:ascii="仿宋_GB2312" w:hAnsi="Arial" w:eastAsia="仿宋_GB2312" w:cs="Arial"/>
          <w:sz w:val="32"/>
          <w:szCs w:val="32"/>
          <w:lang w:val="en-US" w:eastAsia="zh-CN"/>
        </w:rPr>
        <w:t>上述人文学科</w:t>
      </w:r>
      <w:r>
        <w:rPr>
          <w:rFonts w:hint="eastAsia" w:ascii="仿宋_GB2312" w:hAnsi="Arial" w:eastAsia="仿宋_GB2312" w:cs="Arial"/>
          <w:sz w:val="32"/>
          <w:szCs w:val="32"/>
        </w:rPr>
        <w:t>的各个领域，但不考查有关领域的</w:t>
      </w:r>
      <w:r>
        <w:rPr>
          <w:rFonts w:hint="eastAsia" w:ascii="仿宋_GB2312" w:hAnsi="Arial" w:eastAsia="仿宋_GB2312" w:cs="Arial"/>
          <w:sz w:val="32"/>
          <w:szCs w:val="32"/>
          <w:lang w:val="en-US" w:eastAsia="zh-CN"/>
        </w:rPr>
        <w:t>特殊</w:t>
      </w:r>
      <w:r>
        <w:rPr>
          <w:rFonts w:hint="eastAsia" w:ascii="仿宋_GB2312" w:hAnsi="Arial" w:eastAsia="仿宋_GB2312" w:cs="Arial"/>
          <w:sz w:val="32"/>
          <w:szCs w:val="32"/>
        </w:rPr>
        <w:t>专业知识。</w:t>
      </w:r>
    </w:p>
    <w:p>
      <w:pPr>
        <w:spacing w:line="560" w:lineRule="exact"/>
        <w:ind w:firstLine="640" w:firstLineChars="200"/>
        <w:rPr>
          <w:rFonts w:hint="eastAsia" w:ascii="仿宋_GB2312" w:eastAsia="仿宋_GB2312"/>
          <w:sz w:val="32"/>
          <w:szCs w:val="32"/>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rPr>
          <w:rFonts w:hint="eastAsia" w:ascii="仿宋_GB2312" w:eastAsia="仿宋_GB2312"/>
          <w:sz w:val="32"/>
          <w:szCs w:val="32"/>
          <w:lang w:eastAsia="zh-CN"/>
        </w:rPr>
      </w:pPr>
    </w:p>
    <w:p>
      <w:pPr>
        <w:spacing w:line="560" w:lineRule="exact"/>
        <w:jc w:val="left"/>
        <w:rPr>
          <w:rFonts w:hint="eastAsia" w:ascii="仿宋_GB2312" w:eastAsia="仿宋_GB2312"/>
          <w:b/>
          <w:bCs/>
          <w:sz w:val="32"/>
          <w:szCs w:val="32"/>
          <w:lang w:eastAsia="zh-CN"/>
        </w:rPr>
      </w:pPr>
      <w:r>
        <w:rPr>
          <w:rFonts w:hint="eastAsia" w:ascii="仿宋_GB2312" w:eastAsia="仿宋_GB2312"/>
          <w:b/>
          <w:bCs/>
          <w:sz w:val="32"/>
          <w:szCs w:val="32"/>
          <w:lang w:eastAsia="zh-CN"/>
        </w:rPr>
        <w:t>试题样例：</w:t>
      </w:r>
    </w:p>
    <w:p>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outlineLvl w:val="9"/>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val="en-US" w:eastAsia="zh-CN"/>
        </w:rPr>
        <w:t>Translation</w:t>
      </w:r>
      <w:r>
        <w:rPr>
          <w:rFonts w:hint="default" w:ascii="Times New Roman" w:hAnsi="Times New Roman" w:eastAsia="仿宋_GB2312" w:cs="Times New Roman"/>
          <w:sz w:val="24"/>
          <w:szCs w:val="24"/>
          <w:lang w:eastAsia="zh-CN"/>
        </w:rPr>
        <w:t>翻译</w:t>
      </w:r>
      <w:r>
        <w:rPr>
          <w:rFonts w:hint="eastAsia"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lang w:eastAsia="zh-CN"/>
        </w:rPr>
        <w:t>第1小题35分，第2小题40分</w:t>
      </w:r>
      <w:r>
        <w:rPr>
          <w:rFonts w:hint="eastAsia" w:ascii="Times New Roman" w:hAnsi="Times New Roman" w:eastAsia="仿宋_GB2312" w:cs="Times New Roman"/>
          <w:sz w:val="24"/>
          <w:szCs w:val="24"/>
          <w:lang w:val="en-US" w:eastAsia="zh-CN"/>
        </w:rPr>
        <w:t>)</w:t>
      </w:r>
    </w:p>
    <w:p>
      <w:pPr>
        <w:keepNext w:val="0"/>
        <w:keepLines w:val="0"/>
        <w:pageBreakBefore w:val="0"/>
        <w:widowControl w:val="0"/>
        <w:numPr>
          <w:ilvl w:val="0"/>
          <w:numId w:val="5"/>
        </w:numPr>
        <w:kinsoku/>
        <w:wordWrap/>
        <w:overflowPunct/>
        <w:topLinePunct w:val="0"/>
        <w:autoSpaceDE/>
        <w:autoSpaceDN/>
        <w:bidi w:val="0"/>
        <w:adjustRightInd/>
        <w:snapToGrid/>
        <w:spacing w:line="320" w:lineRule="exact"/>
        <w:textAlignment w:val="auto"/>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xml:space="preserve">Please translate the following paragraph into Chinese. Marks will be awarded for content relevance and language quality. 请将以下段落翻译成中文，翻译时请注意内容的忠实性以及语言适切性。 </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Many introductions to literary theory describe a series of ‘schools’ of criticism. Theory is treated as a series of competing ‘approaches’, each with its theoretical positions and commitments. But the theoretical movements that introductions identify--such as structuralism, deconstruction, feminism, psychoanalysis, Marxism, and new historicism--have a lot in common. This is why people talk about ‘theory’ and not just about particular theories. To introduce theory, it is better to discuss shared questions and claims than to survey theoretical schools. It is preferable to discuss important debates that do not oppose one ‘school’ to another but may mark salient divisions within movements. Treating contemporary theory as a set of competing approaches or methods of interpretation misses much of its interest and force, which come from its broad challenge to common sense, and from its explorations of how meaning is created and human identities take shape. I have preferred to take up a series of topics, focusing on important issues and debates about them and on what I think has been learned.</w:t>
      </w:r>
    </w:p>
    <w:p>
      <w:pPr>
        <w:keepNext w:val="0"/>
        <w:keepLines w:val="0"/>
        <w:pageBreakBefore w:val="0"/>
        <w:widowControl w:val="0"/>
        <w:numPr>
          <w:ilvl w:val="0"/>
          <w:numId w:val="5"/>
        </w:numPr>
        <w:kinsoku/>
        <w:wordWrap/>
        <w:overflowPunct/>
        <w:topLinePunct w:val="0"/>
        <w:autoSpaceDE/>
        <w:autoSpaceDN/>
        <w:bidi w:val="0"/>
        <w:adjustRightInd/>
        <w:snapToGrid/>
        <w:spacing w:line="320" w:lineRule="exact"/>
        <w:ind w:left="0" w:leftChars="0" w:firstLine="0" w:firstLineChars="0"/>
        <w:jc w:val="both"/>
        <w:textAlignment w:val="auto"/>
        <w:outlineLvl w:val="9"/>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Please translate the following paragraph into English. Marks will be awarded for content relevance and language quality. 请将以下段落翻译成英文，翻译时请注意内容的忠实性以及语言适切性。</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eastAsia"/>
          <w:lang w:val="en-US" w:eastAsia="zh-CN"/>
        </w:rPr>
      </w:pPr>
      <w:r>
        <w:rPr>
          <w:rFonts w:hint="eastAsia"/>
          <w:lang w:val="en-US" w:eastAsia="zh-CN"/>
        </w:rPr>
        <w:t>我国是拥有五千多年文明史的国家，具有丰厚的历史和文化积累，孕育了学无止境、有教无类、因材施教等深厚的教育思想，这为我们扎根中国大地办教育奠定了坚实基础。深入挖掘和阐发中华优秀传统文化讲仁爱、重民本、守诚信、崇正义、尚和合、求大同的时代价值；大力弘扬中华民族优秀传统文化，传承革命文化，发展社会主义先进文化，通过多种方式加强爱国主义、集体主义、社会主义教育，引导人们树立和坚持正确的历史观、民族观、国家观、文化观，增强做中国人的骨气和底气。</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eastAsia"/>
          <w:lang w:val="en-US" w:eastAsia="zh-CN"/>
        </w:rPr>
      </w:pPr>
    </w:p>
    <w:p>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outlineLvl w:val="9"/>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Writing写作（35分）</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outlineLvl w:val="9"/>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Read the following excerpt and write an essay of about 350 words in English. In your response, you should articulate and justify your opinions on the issue. Marks will be awarded for content relevance, content sufficiency, organization clarity and language quality. 阅读下文，用英语写一篇350词左右的评论阐述你的观点。请注意内容切题度，内容丰富度，篇章结构规范性和语言适切性。</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center"/>
        <w:textAlignment w:val="auto"/>
        <w:outlineLvl w:val="9"/>
        <w:rPr>
          <w:rFonts w:hint="default" w:ascii="Times New Roman" w:hAnsi="Times New Roman" w:cs="Times New Roman"/>
          <w:b/>
          <w:bCs/>
          <w:lang w:val="en-US" w:eastAsia="zh-CN"/>
        </w:rPr>
      </w:pPr>
      <w:r>
        <w:rPr>
          <w:rFonts w:hint="default" w:ascii="Times New Roman" w:hAnsi="Times New Roman" w:cs="Times New Roman"/>
          <w:b/>
          <w:bCs/>
          <w:lang w:val="en-US"/>
        </w:rPr>
        <w:t>The Rise of AI in Business Events: A Boon or a Bane?</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Corporate events, with their myriad of components and stakeholders, require meticulous planning and execution. Artificical Intelligence is revolutionising the way many events are conceptualised, organised, and managed to save money for businesses in the following areas, among others: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Supplier Sourcing: Venue selection in procurement has become more efficient with machine learning algorithms that quickly connect event organisers with suitable venues, while aligning with specific requirements. Hire Space’s venue sourcing platform uses machine learning to connect businesses with the best venues for their events, and to make it easier to send event briefs to multiple relevant venues at once.</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Budget Optimisation: AI can analyse past event data to provide accurate budget forecasts. It can also suggest cost-saving measures and allocate funds more efficiently. It can also analyse the scale and nature of the event to recommend the ideal number of staff required, minimising wastage.</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Event Analysis: By analysing data from previous events, AI can predict potential challenges or bottlenecks which allows planners to create contingency plans. With wearable event tech and facial expression recognition becoming more popular at events, AI can analyse patterns of attendee engagement post-event to shape future strategies for event planning.</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rPr>
        <w:t>Networking Opportunities: AI can analyse attendee profiles to suggest potential networking matches, facilitating meaningful connections and enhancing the overall event value for participants. It can also provide conversation prompts based on connections between attendees who are wearing wearable technology, and suggest the best table layouts for corporate dinners and meetings.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While AI’s promise for business is undeniable, concerns about its reliability, precision, and data protection linger. According to Hire Space’s survey results, a significant portion of industry professionals remain sceptical about the accuracy of AI’s predictions in event planning and voice concerns over data security. Despite the fact that three quarters of event organisers are actively using AI to streamline operations in corporate event planning and beyond, with two thirds expressing that they feel “very positive” about the adoption of AI in events, a third of event planners also voiced concerns over unfamiliarity with AI tools, which could lead to inaccuracies and errors when planning corporate events.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eastAsia="zh-CN"/>
        </w:rPr>
      </w:pPr>
      <w:r>
        <w:rPr>
          <w:rFonts w:hint="default" w:ascii="Times New Roman" w:hAnsi="Times New Roman" w:cs="Times New Roman"/>
          <w:lang w:val="en-US" w:eastAsia="zh-CN"/>
        </w:rPr>
        <w:t>When dealing with personal or company data and sensitive information, this poses a real risk, and it’s clear that learning and development has a long way to go before AI can confidently be applied to planning business events.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outlineLvl w:val="9"/>
        <w:rPr>
          <w:rFonts w:hint="default" w:ascii="Times New Roman" w:hAnsi="Times New Roman" w:cs="Times New Roman"/>
          <w:lang w:val="en-US" w:eastAsia="zh-CN"/>
        </w:rPr>
      </w:pPr>
    </w:p>
    <w:p>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left="0" w:leftChars="0" w:firstLine="0" w:firstLineChars="0"/>
        <w:jc w:val="both"/>
        <w:textAlignment w:val="auto"/>
        <w:outlineLvl w:val="9"/>
        <w:rPr>
          <w:rFonts w:hint="default" w:ascii="Times New Roman" w:hAnsi="Times New Roman" w:cs="Times New Roman"/>
          <w:sz w:val="24"/>
          <w:szCs w:val="24"/>
          <w:lang w:val="en-US"/>
        </w:rPr>
      </w:pPr>
      <w:r>
        <w:rPr>
          <w:rFonts w:hint="default" w:ascii="Times New Roman" w:hAnsi="Times New Roman" w:cs="Times New Roman"/>
          <w:sz w:val="24"/>
          <w:szCs w:val="24"/>
          <w:lang w:val="en-US" w:eastAsia="zh-CN"/>
        </w:rPr>
        <w:t>Academic views学术评述（40分）</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outlineLvl w:val="9"/>
        <w:rPr>
          <w:rFonts w:hint="default" w:ascii="Times New Roman" w:hAnsi="Times New Roman" w:cs="Times New Roman" w:eastAsiaTheme="minorEastAsia"/>
          <w:sz w:val="24"/>
          <w:szCs w:val="24"/>
          <w:lang w:val="en-US" w:eastAsia="zh-CN"/>
        </w:rPr>
      </w:pPr>
      <w:r>
        <w:rPr>
          <w:rFonts w:hint="default" w:ascii="Times New Roman" w:hAnsi="Times New Roman" w:cs="Times New Roman"/>
          <w:b w:val="0"/>
          <w:bCs w:val="0"/>
          <w:sz w:val="24"/>
          <w:szCs w:val="24"/>
          <w:lang w:val="en-US"/>
        </w:rPr>
        <w:t xml:space="preserve">Read the following passage and </w:t>
      </w:r>
      <w:r>
        <w:rPr>
          <w:rFonts w:hint="default" w:ascii="Times New Roman" w:hAnsi="Times New Roman" w:cs="Times New Roman"/>
          <w:b w:val="0"/>
          <w:bCs w:val="0"/>
          <w:sz w:val="24"/>
          <w:szCs w:val="24"/>
          <w:lang w:val="en-US" w:eastAsia="zh-CN"/>
        </w:rPr>
        <w:t xml:space="preserve">write </w:t>
      </w:r>
      <w:r>
        <w:rPr>
          <w:rFonts w:hint="eastAsia" w:ascii="Times New Roman" w:hAnsi="Times New Roman" w:cs="Times New Roman"/>
          <w:b w:val="0"/>
          <w:bCs w:val="0"/>
          <w:sz w:val="24"/>
          <w:szCs w:val="24"/>
          <w:lang w:val="en-US" w:eastAsia="zh-CN"/>
        </w:rPr>
        <w:t xml:space="preserve">about </w:t>
      </w:r>
      <w:r>
        <w:rPr>
          <w:rFonts w:hint="default" w:ascii="Times New Roman" w:hAnsi="Times New Roman" w:cs="Times New Roman"/>
          <w:b w:val="0"/>
          <w:bCs w:val="0"/>
          <w:sz w:val="24"/>
          <w:szCs w:val="24"/>
          <w:lang w:val="en-US" w:eastAsia="zh-CN"/>
        </w:rPr>
        <w:t>400 words in English to</w:t>
      </w:r>
      <w:r>
        <w:rPr>
          <w:rFonts w:hint="default" w:ascii="Times New Roman" w:hAnsi="Times New Roman" w:cs="Times New Roman"/>
          <w:b w:val="0"/>
          <w:bCs w:val="0"/>
          <w:sz w:val="24"/>
          <w:szCs w:val="24"/>
          <w:lang w:val="en-US"/>
        </w:rPr>
        <w:t xml:space="preserve"> comment</w:t>
      </w:r>
      <w:r>
        <w:rPr>
          <w:rFonts w:hint="default" w:ascii="Times New Roman" w:hAnsi="Times New Roman" w:cs="Times New Roman"/>
          <w:b w:val="0"/>
          <w:bCs w:val="0"/>
          <w:sz w:val="24"/>
          <w:szCs w:val="24"/>
          <w:lang w:val="en-US" w:eastAsia="zh-CN"/>
        </w:rPr>
        <w:t xml:space="preserve"> on Universal Grammar and Emergentism</w:t>
      </w:r>
      <w:r>
        <w:rPr>
          <w:rFonts w:hint="default" w:ascii="Times New Roman" w:hAnsi="Times New Roman" w:cs="Times New Roman"/>
          <w:b w:val="0"/>
          <w:bCs w:val="0"/>
          <w:sz w:val="24"/>
          <w:szCs w:val="24"/>
          <w:lang w:val="en-US"/>
        </w:rPr>
        <w:t>.</w:t>
      </w:r>
      <w:r>
        <w:rPr>
          <w:rFonts w:hint="default" w:ascii="Times New Roman" w:hAnsi="Times New Roman" w:cs="Times New Roman"/>
          <w:b/>
          <w:bCs/>
          <w:sz w:val="24"/>
          <w:szCs w:val="24"/>
          <w:lang w:val="en-US" w:eastAsia="zh-CN"/>
        </w:rPr>
        <w:t xml:space="preserve"> </w:t>
      </w:r>
      <w:r>
        <w:rPr>
          <w:rFonts w:hint="default" w:ascii="Times New Roman" w:hAnsi="Times New Roman" w:cs="Times New Roman"/>
          <w:b w:val="0"/>
          <w:bCs w:val="0"/>
          <w:sz w:val="24"/>
          <w:szCs w:val="24"/>
          <w:lang w:val="en-US" w:eastAsia="zh-CN"/>
        </w:rPr>
        <w:t>In your response, you should draw on relevant linguistic knowledge to explain your understanding and present your views.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Marks will be awarded for content relevance,</w:t>
      </w:r>
      <w:r>
        <w:rPr>
          <w:rFonts w:hint="default" w:ascii="Times New Roman" w:hAnsi="Times New Roman" w:cs="Times New Roman"/>
          <w:b w:val="0"/>
          <w:bCs w:val="0"/>
          <w:color w:val="0000FF"/>
          <w:sz w:val="24"/>
          <w:szCs w:val="24"/>
          <w:lang w:val="en-US" w:eastAsia="zh-CN"/>
        </w:rPr>
        <w:t xml:space="preserve"> </w:t>
      </w:r>
      <w:r>
        <w:rPr>
          <w:rFonts w:hint="default" w:ascii="Times New Roman" w:hAnsi="Times New Roman" w:cs="Times New Roman"/>
          <w:sz w:val="24"/>
          <w:szCs w:val="24"/>
          <w:lang w:val="en-US" w:eastAsia="zh-CN"/>
        </w:rPr>
        <w:t>content sufficiency,</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 xml:space="preserve">organization </w:t>
      </w:r>
      <w:r>
        <w:rPr>
          <w:rFonts w:hint="eastAsia" w:ascii="Times New Roman" w:hAnsi="Times New Roman" w:cs="Times New Roman"/>
          <w:b w:val="0"/>
          <w:bCs w:val="0"/>
          <w:color w:val="auto"/>
          <w:sz w:val="24"/>
          <w:szCs w:val="24"/>
          <w:lang w:val="en-US" w:eastAsia="zh-CN"/>
        </w:rPr>
        <w:t xml:space="preserve">clarity </w:t>
      </w:r>
      <w:r>
        <w:rPr>
          <w:rFonts w:hint="default" w:ascii="Times New Roman" w:hAnsi="Times New Roman" w:cs="Times New Roman"/>
          <w:b w:val="0"/>
          <w:bCs w:val="0"/>
          <w:sz w:val="24"/>
          <w:szCs w:val="24"/>
          <w:lang w:val="en-US" w:eastAsia="zh-CN"/>
        </w:rPr>
        <w:t xml:space="preserve">and language quality. </w:t>
      </w:r>
      <w:r>
        <w:rPr>
          <w:rFonts w:hint="default" w:ascii="Times New Roman" w:hAnsi="Times New Roman" w:cs="Times New Roman"/>
          <w:sz w:val="24"/>
          <w:szCs w:val="24"/>
          <w:lang w:val="en-US" w:eastAsia="zh-CN"/>
        </w:rPr>
        <w:t>阅读下文，写一篇400词</w:t>
      </w:r>
      <w:r>
        <w:rPr>
          <w:rFonts w:hint="eastAsia" w:ascii="Times New Roman" w:hAnsi="Times New Roman" w:cs="Times New Roman"/>
          <w:sz w:val="24"/>
          <w:szCs w:val="24"/>
          <w:lang w:val="en-US" w:eastAsia="zh-CN"/>
        </w:rPr>
        <w:t>左右</w:t>
      </w:r>
      <w:r>
        <w:rPr>
          <w:rFonts w:hint="default" w:ascii="Times New Roman" w:hAnsi="Times New Roman" w:cs="Times New Roman"/>
          <w:sz w:val="24"/>
          <w:szCs w:val="24"/>
          <w:lang w:val="en-US" w:eastAsia="zh-CN"/>
        </w:rPr>
        <w:t>的英文评述，</w:t>
      </w:r>
      <w:r>
        <w:rPr>
          <w:rFonts w:hint="eastAsia" w:ascii="Times New Roman" w:hAnsi="Times New Roman" w:cs="Times New Roman"/>
          <w:sz w:val="24"/>
          <w:szCs w:val="24"/>
          <w:lang w:val="en-US" w:eastAsia="zh-CN"/>
        </w:rPr>
        <w:t>请结合相关语言学知识，阐述你对</w:t>
      </w:r>
      <w:r>
        <w:rPr>
          <w:rFonts w:hint="default" w:ascii="Times New Roman" w:hAnsi="Times New Roman" w:cs="Times New Roman"/>
          <w:sz w:val="24"/>
          <w:szCs w:val="24"/>
          <w:lang w:val="en-US" w:eastAsia="zh-CN"/>
        </w:rPr>
        <w:t>普遍语法和涌现论</w:t>
      </w:r>
      <w:r>
        <w:rPr>
          <w:rFonts w:hint="eastAsia" w:ascii="Times New Roman" w:hAnsi="Times New Roman" w:cs="Times New Roman"/>
          <w:sz w:val="24"/>
          <w:szCs w:val="24"/>
          <w:lang w:val="en-US" w:eastAsia="zh-CN"/>
        </w:rPr>
        <w:t>的理解和</w:t>
      </w:r>
      <w:r>
        <w:rPr>
          <w:rFonts w:hint="default" w:ascii="Times New Roman" w:hAnsi="Times New Roman" w:cs="Times New Roman"/>
          <w:sz w:val="24"/>
          <w:szCs w:val="24"/>
          <w:lang w:val="en-US" w:eastAsia="zh-CN"/>
        </w:rPr>
        <w:t>观点。请注意内容切题度</w:t>
      </w:r>
      <w:r>
        <w:rPr>
          <w:rFonts w:hint="eastAsia" w:ascii="Times New Roman" w:hAnsi="Times New Roman" w:cs="Times New Roman"/>
          <w:sz w:val="24"/>
          <w:szCs w:val="24"/>
          <w:lang w:val="en-US" w:eastAsia="zh-CN"/>
        </w:rPr>
        <w:t>，内容</w:t>
      </w:r>
      <w:r>
        <w:rPr>
          <w:rFonts w:hint="default" w:ascii="Times New Roman" w:hAnsi="Times New Roman" w:cs="Times New Roman"/>
          <w:sz w:val="24"/>
          <w:szCs w:val="24"/>
          <w:lang w:val="en-US" w:eastAsia="zh-CN"/>
        </w:rPr>
        <w:t>丰富度，篇章结构规范性和语言适切性。</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rPr>
      </w:pPr>
      <w:r>
        <w:rPr>
          <w:rFonts w:hint="default" w:ascii="Times New Roman" w:hAnsi="Times New Roman" w:cs="Times New Roman"/>
          <w:lang w:val="en-US"/>
        </w:rPr>
        <w:t xml:space="preserve">The modern study of language can be viewed as the tale of two competing paradigms: Universal Grammar (UG) and Emergentism. These two paradigms assume fundamentally different positions on ten core issues: the scope of language, the uniqueness of recursion, rules vs. cues, the relevance of E-Language, the suddenness of the evolution of language, the genetic control of language, the idea that speech is special, critical periods for language learning, neurological modules for language, and the poverty of the stimulus during the language learning. </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lang w:val="en-US"/>
        </w:rPr>
      </w:pPr>
      <w:r>
        <w:rPr>
          <w:rFonts w:hint="default" w:ascii="Times New Roman" w:hAnsi="Times New Roman" w:cs="Times New Roman"/>
          <w:lang w:val="en-US"/>
        </w:rPr>
        <w:t xml:space="preserve">UG analyses emphasize explanations of language structure grounded on inborn principles specific to human language (Hauser et al. 2002), as expressed in recursive function theory (Chomsky 1963, 1976, 2010). In contrast, emergentist analyses are grounded on three core frameworks deriving from adaptive systems theory. The first is the Darwinian theory of evolution based on proliferation, competition, and selection. The second is the analysis of complex systems as structured hierarchically into levels, such that higher levels of complexity emerge from lower levels in ways not fully predictable from lower level properties. The third is the theory of time frames that holds that processes on different levels are linked to very different timescales that mesh together through competition in the present. These three frameworks are not unique to linguistic analysis. In fact, they are fundamental to scientific investigation of all physical, biological, and social processes. </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20" w:firstLineChars="200"/>
        <w:jc w:val="both"/>
        <w:textAlignment w:val="auto"/>
        <w:outlineLvl w:val="9"/>
        <w:rPr>
          <w:rFonts w:hint="default" w:ascii="Times New Roman" w:hAnsi="Times New Roman" w:cs="Times New Roman"/>
          <w:color w:val="auto"/>
          <w:lang w:val="en-US"/>
        </w:rPr>
      </w:pPr>
      <w:r>
        <w:rPr>
          <w:rFonts w:hint="default" w:ascii="Times New Roman" w:hAnsi="Times New Roman" w:cs="Times New Roman"/>
          <w:lang w:val="en-US"/>
        </w:rPr>
        <w:t>This dialog between Emergentism and UG has stimulated three decades of useful empirical and theoretical work. However, Emergentism must now move beyond the confines of this debate. Because Emergentism views language as a meshing of inputs from at least seven structural levels (MacWhinney 2014), these accounts will necessarily be more complex. Fortunately, we can use powerful new methods for qualitative and quantitative analysis of longitudinal multimedia corpora to track the effects of inputs from the many contrasting processes and inputs that shape the totality of human language. Models as diverse as variable rule analysis, dynamic systems theory, and neural networks can be translated into a core language (Farmer 1990) of cue strength and interactive activation.</w:t>
      </w:r>
      <w:r>
        <w:rPr>
          <w:rFonts w:hint="default" w:ascii="Times New Roman" w:hAnsi="Times New Roman" w:cs="Times New Roman"/>
          <w:color w:val="auto"/>
          <w:lang w:val="en-US"/>
        </w:rPr>
        <w:t xml:space="preserve"> We will need to move ahead on six fronts simultaneously: (1) neurolinguistics and neuroimaging, (2) longitudinal collection of naturalistic and</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lang w:val="en-US"/>
        </w:rPr>
        <w:t>structured corpora, (3) linkage of typology and diachrony to synchronic processes, (4) psycholinguistic experimentation, (5) computational linguistic analysis, and (6) computational modelling. Finally, we must work to interpret the results from each of these six efforts in the context of advances from the other five. We definitely have our work cut out for us.</w:t>
      </w:r>
    </w:p>
    <w:p>
      <w:pPr>
        <w:widowControl w:val="0"/>
        <w:numPr>
          <w:ilvl w:val="0"/>
          <w:numId w:val="0"/>
        </w:numPr>
        <w:spacing w:line="560" w:lineRule="exact"/>
        <w:jc w:val="both"/>
        <w:rPr>
          <w:rFonts w:hint="default" w:ascii="Times New Roman" w:hAnsi="Times New Roman" w:eastAsia="仿宋_GB2312" w:cs="Times New Roman"/>
          <w:sz w:val="24"/>
          <w:szCs w:val="24"/>
          <w:lang w:val="en-US" w:eastAsia="zh-CN"/>
        </w:rPr>
      </w:pPr>
    </w:p>
    <w:p>
      <w:pPr>
        <w:widowControl w:val="0"/>
        <w:numPr>
          <w:ilvl w:val="0"/>
          <w:numId w:val="0"/>
        </w:numPr>
        <w:spacing w:line="560" w:lineRule="exact"/>
        <w:jc w:val="both"/>
        <w:rPr>
          <w:rFonts w:hint="default" w:ascii="Times New Roman" w:hAnsi="Times New Roman" w:eastAsia="仿宋_GB2312" w:cs="Times New Roman"/>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方正小标宋简体">
    <w:altName w:val="SimHei"/>
    <w:panose1 w:val="03000509000000000000"/>
    <w:charset w:val="86"/>
    <w:family w:val="script"/>
    <w:pitch w:val="default"/>
    <w:sig w:usb0="00000000" w:usb1="00000000" w:usb2="00000010" w:usb3="00000000" w:csb0="00040000" w:csb1="00000000"/>
  </w:font>
  <w:font w:name="仿宋_GB2312">
    <w:altName w:val="FangSong"/>
    <w:panose1 w:val="02010609030101010101"/>
    <w:charset w:val="86"/>
    <w:family w:val="modern"/>
    <w:pitch w:val="default"/>
    <w:sig w:usb0="00000000" w:usb1="00000000" w:usb2="00000010" w:usb3="00000000" w:csb0="00040000" w:csb1="00000000"/>
  </w:font>
  <w:font w:name="FangSong">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DB4ED0"/>
    <w:multiLevelType w:val="singleLevel"/>
    <w:tmpl w:val="85DB4ED0"/>
    <w:lvl w:ilvl="0" w:tentative="0">
      <w:start w:val="1"/>
      <w:numFmt w:val="decimal"/>
      <w:suff w:val="space"/>
      <w:lvlText w:val="%1."/>
      <w:lvlJc w:val="left"/>
    </w:lvl>
  </w:abstractNum>
  <w:abstractNum w:abstractNumId="1">
    <w:nsid w:val="CCCFBD7E"/>
    <w:multiLevelType w:val="singleLevel"/>
    <w:tmpl w:val="CCCFBD7E"/>
    <w:lvl w:ilvl="0" w:tentative="0">
      <w:start w:val="2"/>
      <w:numFmt w:val="chineseCounting"/>
      <w:suff w:val="nothing"/>
      <w:lvlText w:val="（%1）"/>
      <w:lvlJc w:val="left"/>
      <w:rPr>
        <w:rFonts w:hint="eastAsia"/>
      </w:rPr>
    </w:lvl>
  </w:abstractNum>
  <w:abstractNum w:abstractNumId="2">
    <w:nsid w:val="065A4DBD"/>
    <w:multiLevelType w:val="multilevel"/>
    <w:tmpl w:val="065A4DBD"/>
    <w:lvl w:ilvl="0" w:tentative="0">
      <w:start w:val="1"/>
      <w:numFmt w:val="chineseCountingThousand"/>
      <w:suff w:val="nothing"/>
      <w:lvlText w:val="%1、"/>
      <w:lvlJc w:val="left"/>
      <w:pPr>
        <w:ind w:left="1063" w:hanging="420"/>
      </w:pPr>
      <w:rPr>
        <w:rFonts w:hint="eastAsia"/>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abstractNum w:abstractNumId="3">
    <w:nsid w:val="28B1A316"/>
    <w:multiLevelType w:val="singleLevel"/>
    <w:tmpl w:val="28B1A316"/>
    <w:lvl w:ilvl="0" w:tentative="0">
      <w:start w:val="1"/>
      <w:numFmt w:val="upperRoman"/>
      <w:suff w:val="space"/>
      <w:lvlText w:val="%1."/>
      <w:lvlJc w:val="left"/>
    </w:lvl>
  </w:abstractNum>
  <w:abstractNum w:abstractNumId="4">
    <w:nsid w:val="668BD64D"/>
    <w:multiLevelType w:val="singleLevel"/>
    <w:tmpl w:val="668BD64D"/>
    <w:lvl w:ilvl="0" w:tentative="0">
      <w:start w:val="1"/>
      <w:numFmt w:val="decimal"/>
      <w:lvlText w:val="%1."/>
      <w:lvlJc w:val="left"/>
      <w:pPr>
        <w:tabs>
          <w:tab w:val="left" w:pos="312"/>
        </w:tabs>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N2IwZTk5ZjAzNjBlZGUwNjcyMjQxN2JjNWI2ZDIifQ=="/>
  </w:docVars>
  <w:rsids>
    <w:rsidRoot w:val="00347C36"/>
    <w:rsid w:val="001E08A8"/>
    <w:rsid w:val="00347C36"/>
    <w:rsid w:val="00B14864"/>
    <w:rsid w:val="0440764C"/>
    <w:rsid w:val="05C729BF"/>
    <w:rsid w:val="100D04F5"/>
    <w:rsid w:val="15212483"/>
    <w:rsid w:val="176C0B07"/>
    <w:rsid w:val="19D90659"/>
    <w:rsid w:val="28E02DD9"/>
    <w:rsid w:val="2AB95ED0"/>
    <w:rsid w:val="2F06303B"/>
    <w:rsid w:val="445F57A5"/>
    <w:rsid w:val="46555B1B"/>
    <w:rsid w:val="4B8D03AF"/>
    <w:rsid w:val="4C930CCC"/>
    <w:rsid w:val="554E0AD0"/>
    <w:rsid w:val="6B6A5E6D"/>
    <w:rsid w:val="73FC6231"/>
    <w:rsid w:val="77991266"/>
    <w:rsid w:val="7B752582"/>
    <w:rsid w:val="7F086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SimSun" w:hAnsi="SimSun" w:eastAsia="SimSun" w:cs="SimSun"/>
      <w:kern w:val="0"/>
      <w:sz w:val="24"/>
      <w:szCs w:val="24"/>
    </w:rPr>
  </w:style>
  <w:style w:type="character" w:styleId="4">
    <w:name w:val="Hyperlink"/>
    <w:basedOn w:val="3"/>
    <w:semiHidden/>
    <w:unhideWhenUsed/>
    <w:qFormat/>
    <w:uiPriority w:val="99"/>
    <w:rPr>
      <w:color w:val="0000FF"/>
      <w:u w:val="single"/>
    </w:rPr>
  </w:style>
  <w:style w:type="character" w:styleId="5">
    <w:name w:val="Strong"/>
    <w:basedOn w:val="3"/>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133</Words>
  <Characters>764</Characters>
  <Lines>6</Lines>
  <Paragraphs>1</Paragraphs>
  <TotalTime>68</TotalTime>
  <ScaleCrop>false</ScaleCrop>
  <LinksUpToDate>false</LinksUpToDate>
  <CharactersWithSpaces>896</CharactersWithSpaces>
  <Application>WPS Office_10.2.0.7636_F1E327BC-269C-435d-A152-05C5408002CA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2022-06-14T01:10:00Z</dcterms:created>
  <dc:creator>张琼渊</dc:creator>
  <cp:lastModifiedBy>Suem Chen</cp:lastModifiedBy>
  <dcterms:modified xsi:type="dcterms:W3CDTF">2025-09-02T09:45:03Z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1033-10.2.0.7636</vt:lpwstr>
  </property>
  <property fmtid="{D5CDD505-2E9C-101B-9397-08002B2CF9AE}" pid="3" name="ICV">
    <vt:lpwstr>00D33F536BB14436BFF76467CD6D60C4_13</vt:lpwstr>
  </property>
</Properties>
</file>