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81069B">
      <w:pPr>
        <w:pStyle w:val="4"/>
        <w:shd w:val="clear" w:color="auto" w:fill="FAFAFA"/>
        <w:spacing w:before="0" w:beforeAutospacing="0" w:after="0" w:afterAutospacing="0" w:line="600" w:lineRule="exact"/>
        <w:jc w:val="center"/>
        <w:outlineLvl w:val="0"/>
        <w:rPr>
          <w:rFonts w:ascii="方正小标宋简体" w:hAnsi="Arial" w:eastAsia="方正小标宋简体" w:cs="Arial"/>
          <w:sz w:val="44"/>
          <w:szCs w:val="36"/>
        </w:rPr>
      </w:pPr>
      <w:bookmarkStart w:id="1" w:name="_GoBack"/>
      <w:bookmarkEnd w:id="1"/>
      <w:r>
        <w:rPr>
          <w:rStyle w:val="7"/>
          <w:rFonts w:hint="eastAsia" w:ascii="方正小标宋简体" w:hAnsi="Arial" w:eastAsia="方正小标宋简体" w:cs="Arial"/>
          <w:sz w:val="44"/>
          <w:szCs w:val="36"/>
        </w:rPr>
        <w:t>硕士研究生入学考试大纲</w:t>
      </w:r>
      <w:r>
        <w:rPr>
          <w:rStyle w:val="7"/>
          <w:rFonts w:ascii="方正小标宋简体" w:hAnsi="Arial" w:eastAsia="方正小标宋简体" w:cs="Arial"/>
          <w:sz w:val="44"/>
          <w:szCs w:val="36"/>
        </w:rPr>
        <w:br w:type="textWrapping"/>
      </w:r>
      <w:r>
        <w:rPr>
          <w:rFonts w:hint="eastAsia" w:ascii="方正小标宋简体" w:hAnsi="Arial" w:eastAsia="方正小标宋简体" w:cs="Arial"/>
          <w:sz w:val="44"/>
          <w:szCs w:val="36"/>
        </w:rPr>
        <w:t xml:space="preserve">《830 </w:t>
      </w:r>
      <w:bookmarkStart w:id="0" w:name="_Hlk113005910"/>
      <w:r>
        <w:rPr>
          <w:rFonts w:hint="eastAsia" w:ascii="方正小标宋简体" w:hAnsi="Arial" w:eastAsia="方正小标宋简体" w:cs="Arial"/>
          <w:sz w:val="44"/>
          <w:szCs w:val="36"/>
        </w:rPr>
        <w:t>普通物理学和物理教材教法</w:t>
      </w:r>
      <w:bookmarkEnd w:id="0"/>
      <w:r>
        <w:rPr>
          <w:rFonts w:hint="eastAsia" w:ascii="方正小标宋简体" w:hAnsi="Arial" w:eastAsia="方正小标宋简体" w:cs="Arial"/>
          <w:sz w:val="44"/>
          <w:szCs w:val="36"/>
        </w:rPr>
        <w:t>》</w:t>
      </w:r>
    </w:p>
    <w:p w14:paraId="243AE4CB">
      <w:pPr>
        <w:pStyle w:val="4"/>
        <w:shd w:val="clear" w:color="auto" w:fill="FAFAFA"/>
        <w:spacing w:before="0" w:beforeAutospacing="0" w:after="0" w:afterAutospacing="0" w:line="600" w:lineRule="exact"/>
        <w:jc w:val="center"/>
        <w:rPr>
          <w:rFonts w:ascii="方正小标宋简体" w:hAnsi="Arial" w:eastAsia="方正小标宋简体" w:cs="Arial"/>
          <w:sz w:val="44"/>
          <w:szCs w:val="36"/>
        </w:rPr>
      </w:pPr>
    </w:p>
    <w:p w14:paraId="7E298080">
      <w:pPr>
        <w:pStyle w:val="4"/>
        <w:numPr>
          <w:ilvl w:val="0"/>
          <w:numId w:val="1"/>
        </w:numPr>
        <w:shd w:val="clear" w:color="auto" w:fill="FAFAFA"/>
        <w:spacing w:before="0" w:beforeAutospacing="0" w:after="0" w:afterAutospacing="0" w:line="560" w:lineRule="exact"/>
        <w:ind w:left="0" w:firstLine="643" w:firstLineChars="200"/>
        <w:outlineLvl w:val="1"/>
        <w:rPr>
          <w:rFonts w:ascii="黑体" w:hAnsi="黑体" w:eastAsia="黑体" w:cs="Arial"/>
          <w:sz w:val="32"/>
          <w:szCs w:val="32"/>
        </w:rPr>
      </w:pPr>
      <w:r>
        <w:rPr>
          <w:rStyle w:val="7"/>
          <w:rFonts w:hint="eastAsia" w:ascii="黑体" w:hAnsi="黑体" w:eastAsia="黑体" w:cs="Arial"/>
          <w:sz w:val="32"/>
          <w:szCs w:val="32"/>
        </w:rPr>
        <w:t>考试性质</w:t>
      </w:r>
    </w:p>
    <w:p w14:paraId="706DC920">
      <w:pPr>
        <w:pStyle w:val="4"/>
        <w:shd w:val="clear" w:color="auto" w:fill="FAFAFA"/>
        <w:spacing w:before="0" w:beforeAutospacing="0" w:after="0" w:afterAutospacing="0" w:line="560" w:lineRule="exact"/>
        <w:ind w:firstLine="640" w:firstLineChars="200"/>
        <w:rPr>
          <w:rFonts w:ascii="仿宋_GB2312" w:hAnsi="Arial" w:eastAsia="仿宋_GB2312" w:cs="Arial"/>
          <w:sz w:val="32"/>
          <w:szCs w:val="32"/>
        </w:rPr>
      </w:pPr>
      <w:r>
        <w:rPr>
          <w:rFonts w:hint="eastAsia" w:ascii="仿宋_GB2312" w:hAnsi="Arial" w:eastAsia="仿宋_GB2312" w:cs="Arial"/>
          <w:sz w:val="32"/>
          <w:szCs w:val="32"/>
        </w:rPr>
        <w:t>普通物理学和物理教材教法考试是为高等院校招收学科教学（物理）教育硕士而设置的具有选拔性质的单独考试科目，其目的是科学、公平、有效地测试考生是否具备攻读教育硕士学位所必需的基本素质、能力和发展潜能，评价的标准是高等学校本科毕业生所能达到</w:t>
      </w:r>
      <w:r>
        <w:rPr>
          <w:rFonts w:hint="eastAsia" w:ascii="仿宋_GB2312" w:hAnsi="Arial" w:eastAsia="仿宋_GB2312" w:cs="Arial"/>
          <w:strike/>
          <w:sz w:val="32"/>
          <w:szCs w:val="32"/>
        </w:rPr>
        <w:t>的</w:t>
      </w:r>
      <w:r>
        <w:rPr>
          <w:rFonts w:hint="eastAsia" w:ascii="仿宋_GB2312" w:hAnsi="Arial" w:eastAsia="仿宋_GB2312" w:cs="Arial"/>
          <w:sz w:val="32"/>
          <w:szCs w:val="32"/>
        </w:rPr>
        <w:t>水平，以利于我校专业上择优选拔，确保专业学位硕士研究生的招生质量。</w:t>
      </w:r>
    </w:p>
    <w:p w14:paraId="7D97510E">
      <w:pPr>
        <w:pStyle w:val="4"/>
        <w:numPr>
          <w:ilvl w:val="0"/>
          <w:numId w:val="1"/>
        </w:numPr>
        <w:shd w:val="clear" w:color="auto" w:fill="FAFAFA"/>
        <w:spacing w:before="0" w:beforeAutospacing="0" w:after="0" w:afterAutospacing="0" w:line="560" w:lineRule="exact"/>
        <w:ind w:left="0" w:firstLine="643" w:firstLineChars="200"/>
        <w:outlineLvl w:val="1"/>
        <w:rPr>
          <w:rStyle w:val="7"/>
          <w:rFonts w:ascii="黑体" w:hAnsi="黑体" w:eastAsia="黑体" w:cs="Arial"/>
          <w:sz w:val="32"/>
          <w:szCs w:val="32"/>
        </w:rPr>
      </w:pPr>
      <w:r>
        <w:rPr>
          <w:rStyle w:val="7"/>
          <w:rFonts w:hint="eastAsia" w:ascii="黑体" w:hAnsi="黑体" w:eastAsia="黑体" w:cs="Arial"/>
          <w:sz w:val="32"/>
          <w:szCs w:val="32"/>
        </w:rPr>
        <w:t>考查目标</w:t>
      </w:r>
    </w:p>
    <w:p w14:paraId="0D36F5A1">
      <w:pPr>
        <w:pStyle w:val="4"/>
        <w:shd w:val="clear" w:color="auto" w:fill="FAFAFA"/>
        <w:spacing w:before="0" w:beforeAutospacing="0" w:after="0" w:afterAutospacing="0" w:line="560" w:lineRule="exact"/>
        <w:ind w:firstLine="640" w:firstLineChars="200"/>
        <w:rPr>
          <w:rFonts w:ascii="仿宋_GB2312" w:hAnsi="Arial" w:eastAsia="仿宋_GB2312" w:cs="Arial"/>
          <w:sz w:val="32"/>
          <w:szCs w:val="32"/>
        </w:rPr>
      </w:pPr>
      <w:r>
        <w:rPr>
          <w:rFonts w:hint="eastAsia" w:ascii="仿宋_GB2312" w:hAnsi="Arial" w:eastAsia="仿宋_GB2312" w:cs="Arial"/>
          <w:sz w:val="32"/>
          <w:szCs w:val="32"/>
        </w:rPr>
        <w:t>具有运用物理基础学科知识、物理课程与教学的理论知识和实践知识分析解决问题的能力。具有较强的教学设计和实践能力。</w:t>
      </w:r>
    </w:p>
    <w:p w14:paraId="1C9C2723">
      <w:pPr>
        <w:pStyle w:val="4"/>
        <w:numPr>
          <w:ilvl w:val="0"/>
          <w:numId w:val="1"/>
        </w:numPr>
        <w:shd w:val="clear" w:color="auto" w:fill="FAFAFA"/>
        <w:spacing w:before="0" w:beforeAutospacing="0" w:after="0" w:afterAutospacing="0" w:line="560" w:lineRule="exact"/>
        <w:ind w:left="0" w:firstLine="643" w:firstLineChars="200"/>
        <w:outlineLvl w:val="1"/>
        <w:rPr>
          <w:rStyle w:val="7"/>
          <w:rFonts w:ascii="黑体" w:hAnsi="黑体" w:eastAsia="黑体" w:cs="Arial"/>
          <w:sz w:val="32"/>
          <w:szCs w:val="32"/>
        </w:rPr>
      </w:pPr>
      <w:r>
        <w:rPr>
          <w:rStyle w:val="7"/>
          <w:rFonts w:hint="eastAsia" w:ascii="黑体" w:hAnsi="黑体" w:eastAsia="黑体" w:cs="Arial"/>
          <w:sz w:val="32"/>
          <w:szCs w:val="32"/>
        </w:rPr>
        <w:t>考试形式和试卷结构</w:t>
      </w:r>
    </w:p>
    <w:p w14:paraId="10507E30">
      <w:pPr>
        <w:pStyle w:val="4"/>
        <w:shd w:val="clear" w:color="auto" w:fill="FAFAFA"/>
        <w:spacing w:before="0" w:beforeAutospacing="0" w:after="0" w:afterAutospacing="0" w:line="560" w:lineRule="exact"/>
        <w:ind w:firstLine="643" w:firstLineChars="200"/>
        <w:rPr>
          <w:rFonts w:ascii="仿宋_GB2312" w:hAnsi="Arial" w:eastAsia="仿宋_GB2312" w:cs="Arial"/>
          <w:sz w:val="32"/>
          <w:szCs w:val="32"/>
        </w:rPr>
      </w:pPr>
      <w:r>
        <w:rPr>
          <w:rStyle w:val="7"/>
          <w:rFonts w:hint="eastAsia" w:ascii="仿宋_GB2312" w:hAnsi="Arial" w:eastAsia="仿宋_GB2312" w:cs="Arial"/>
          <w:sz w:val="32"/>
          <w:szCs w:val="32"/>
        </w:rPr>
        <w:t>（一）试卷满分及考试时间</w:t>
      </w:r>
    </w:p>
    <w:p w14:paraId="1B345595">
      <w:pPr>
        <w:pStyle w:val="4"/>
        <w:shd w:val="clear" w:color="auto" w:fill="FAFAFA"/>
        <w:spacing w:before="0" w:beforeAutospacing="0" w:after="0" w:afterAutospacing="0" w:line="560" w:lineRule="exact"/>
        <w:ind w:firstLine="640" w:firstLineChars="200"/>
        <w:rPr>
          <w:rFonts w:ascii="仿宋_GB2312" w:hAnsi="Arial" w:eastAsia="仿宋_GB2312" w:cs="Arial"/>
          <w:sz w:val="32"/>
          <w:szCs w:val="32"/>
        </w:rPr>
      </w:pPr>
      <w:r>
        <w:rPr>
          <w:rFonts w:hint="eastAsia" w:ascii="仿宋_GB2312" w:hAnsi="Arial" w:eastAsia="仿宋_GB2312" w:cs="Arial"/>
          <w:sz w:val="32"/>
          <w:szCs w:val="32"/>
        </w:rPr>
        <w:t>试卷满分为150分，考试时间为180分钟。</w:t>
      </w:r>
    </w:p>
    <w:p w14:paraId="7EF1CCE1">
      <w:pPr>
        <w:pStyle w:val="4"/>
        <w:shd w:val="clear" w:color="auto" w:fill="FAFAFA"/>
        <w:spacing w:before="0" w:beforeAutospacing="0" w:after="0" w:afterAutospacing="0" w:line="560" w:lineRule="exact"/>
        <w:ind w:firstLine="643" w:firstLineChars="200"/>
        <w:rPr>
          <w:rFonts w:ascii="仿宋_GB2312" w:hAnsi="Arial" w:eastAsia="仿宋_GB2312" w:cs="Arial"/>
          <w:sz w:val="32"/>
          <w:szCs w:val="32"/>
        </w:rPr>
      </w:pPr>
      <w:r>
        <w:rPr>
          <w:rStyle w:val="7"/>
          <w:rFonts w:hint="eastAsia" w:ascii="仿宋_GB2312" w:hAnsi="Arial" w:eastAsia="仿宋_GB2312" w:cs="Arial"/>
          <w:sz w:val="32"/>
          <w:szCs w:val="32"/>
        </w:rPr>
        <w:t>（二）答题方式</w:t>
      </w:r>
    </w:p>
    <w:p w14:paraId="53D9C87B">
      <w:pPr>
        <w:pStyle w:val="4"/>
        <w:shd w:val="clear" w:color="auto" w:fill="FAFAFA"/>
        <w:spacing w:before="0" w:beforeAutospacing="0" w:after="0" w:afterAutospacing="0" w:line="560" w:lineRule="exact"/>
        <w:ind w:firstLine="640" w:firstLineChars="200"/>
        <w:rPr>
          <w:rFonts w:ascii="仿宋_GB2312" w:hAnsi="Arial" w:eastAsia="仿宋_GB2312" w:cs="Arial"/>
          <w:sz w:val="32"/>
          <w:szCs w:val="32"/>
        </w:rPr>
      </w:pPr>
      <w:r>
        <w:rPr>
          <w:rFonts w:hint="eastAsia" w:ascii="仿宋_GB2312" w:hAnsi="Arial" w:eastAsia="仿宋_GB2312" w:cs="Arial"/>
          <w:sz w:val="32"/>
          <w:szCs w:val="32"/>
        </w:rPr>
        <w:t>答题方式为闭卷、笔试。不允许使用计算器。</w:t>
      </w:r>
    </w:p>
    <w:p w14:paraId="7094DBBC">
      <w:pPr>
        <w:pStyle w:val="4"/>
        <w:shd w:val="clear" w:color="auto" w:fill="FAFAFA"/>
        <w:spacing w:before="0" w:beforeAutospacing="0" w:after="0" w:afterAutospacing="0" w:line="560" w:lineRule="exact"/>
        <w:ind w:firstLine="643" w:firstLineChars="200"/>
        <w:rPr>
          <w:rFonts w:ascii="仿宋_GB2312" w:hAnsi="Arial" w:eastAsia="仿宋_GB2312" w:cs="Arial"/>
          <w:sz w:val="32"/>
          <w:szCs w:val="32"/>
        </w:rPr>
      </w:pPr>
      <w:r>
        <w:rPr>
          <w:rStyle w:val="7"/>
          <w:rFonts w:hint="eastAsia" w:ascii="仿宋_GB2312" w:hAnsi="Arial" w:eastAsia="仿宋_GB2312" w:cs="Arial"/>
          <w:sz w:val="32"/>
          <w:szCs w:val="32"/>
        </w:rPr>
        <w:t>（三）试卷包含内容</w:t>
      </w:r>
    </w:p>
    <w:p w14:paraId="4B8C917C">
      <w:pPr>
        <w:pStyle w:val="4"/>
        <w:shd w:val="clear" w:color="auto" w:fill="FAFAFA"/>
        <w:spacing w:before="0" w:beforeAutospacing="0" w:after="0" w:afterAutospacing="0" w:line="560" w:lineRule="exact"/>
        <w:ind w:firstLine="640" w:firstLineChars="200"/>
        <w:rPr>
          <w:rFonts w:ascii="仿宋_GB2312" w:hAnsi="Arial" w:eastAsia="仿宋_GB2312" w:cs="Arial"/>
          <w:sz w:val="32"/>
          <w:szCs w:val="32"/>
        </w:rPr>
      </w:pPr>
      <w:r>
        <w:rPr>
          <w:rFonts w:hint="eastAsia" w:ascii="仿宋_GB2312" w:hAnsi="Arial" w:eastAsia="仿宋_GB2312" w:cs="Arial"/>
          <w:sz w:val="32"/>
          <w:szCs w:val="32"/>
        </w:rPr>
        <w:t>大学物理：计算题 4题，共60分</w:t>
      </w:r>
    </w:p>
    <w:p w14:paraId="0F77619E">
      <w:pPr>
        <w:pStyle w:val="4"/>
        <w:shd w:val="clear" w:color="auto" w:fill="FAFAFA"/>
        <w:spacing w:before="0" w:beforeAutospacing="0" w:after="0" w:afterAutospacing="0" w:line="560" w:lineRule="exact"/>
        <w:ind w:firstLine="640" w:firstLineChars="200"/>
        <w:rPr>
          <w:rFonts w:ascii="仿宋_GB2312" w:hAnsi="Arial" w:eastAsia="仿宋_GB2312" w:cs="Arial"/>
          <w:sz w:val="32"/>
          <w:szCs w:val="32"/>
        </w:rPr>
      </w:pPr>
      <w:r>
        <w:rPr>
          <w:rFonts w:hint="eastAsia" w:ascii="仿宋_GB2312" w:hAnsi="Arial" w:eastAsia="仿宋_GB2312" w:cs="Arial"/>
          <w:sz w:val="32"/>
          <w:szCs w:val="32"/>
        </w:rPr>
        <w:t>物理课程与教材： 计算分析题 4题，共60分</w:t>
      </w:r>
    </w:p>
    <w:p w14:paraId="48BBF8D5">
      <w:pPr>
        <w:pStyle w:val="4"/>
        <w:shd w:val="clear" w:color="auto" w:fill="FAFAFA"/>
        <w:spacing w:before="0" w:beforeAutospacing="0" w:after="0" w:afterAutospacing="0" w:line="560" w:lineRule="exact"/>
        <w:ind w:firstLine="640" w:firstLineChars="200"/>
        <w:rPr>
          <w:rFonts w:ascii="仿宋_GB2312" w:hAnsi="Arial" w:eastAsia="仿宋_GB2312" w:cs="Arial"/>
          <w:sz w:val="32"/>
          <w:szCs w:val="32"/>
        </w:rPr>
      </w:pPr>
      <w:r>
        <w:rPr>
          <w:rFonts w:hint="eastAsia" w:ascii="仿宋_GB2312" w:hAnsi="Arial" w:eastAsia="仿宋_GB2312" w:cs="Arial"/>
          <w:sz w:val="32"/>
          <w:szCs w:val="32"/>
        </w:rPr>
        <w:t>物理教学设计：教学设计题1题，共30分</w:t>
      </w:r>
    </w:p>
    <w:p w14:paraId="3072834B">
      <w:pPr>
        <w:pStyle w:val="4"/>
        <w:numPr>
          <w:ilvl w:val="0"/>
          <w:numId w:val="1"/>
        </w:numPr>
        <w:shd w:val="clear" w:color="auto" w:fill="FAFAFA"/>
        <w:spacing w:before="0" w:beforeAutospacing="0" w:after="0" w:afterAutospacing="0" w:line="560" w:lineRule="exact"/>
        <w:ind w:left="0" w:firstLine="643" w:firstLineChars="200"/>
        <w:outlineLvl w:val="1"/>
        <w:rPr>
          <w:rStyle w:val="7"/>
          <w:rFonts w:ascii="黑体" w:hAnsi="黑体" w:eastAsia="黑体" w:cs="Arial"/>
          <w:sz w:val="32"/>
          <w:szCs w:val="32"/>
        </w:rPr>
      </w:pPr>
      <w:r>
        <w:rPr>
          <w:rStyle w:val="7"/>
          <w:rFonts w:hint="eastAsia" w:ascii="黑体" w:hAnsi="黑体" w:eastAsia="黑体" w:cs="Arial"/>
          <w:sz w:val="32"/>
          <w:szCs w:val="32"/>
          <w:lang w:val="en-US" w:eastAsia="zh-CN"/>
        </w:rPr>
        <w:t>考</w:t>
      </w:r>
      <w:r>
        <w:rPr>
          <w:rStyle w:val="7"/>
          <w:rFonts w:hint="eastAsia" w:ascii="黑体" w:hAnsi="黑体" w:eastAsia="黑体" w:cs="Arial"/>
          <w:sz w:val="32"/>
          <w:szCs w:val="32"/>
        </w:rPr>
        <w:t>查内容</w:t>
      </w:r>
    </w:p>
    <w:p w14:paraId="74FA56DE">
      <w:pPr>
        <w:pStyle w:val="4"/>
        <w:shd w:val="clear" w:color="auto" w:fill="FAFAFA"/>
        <w:spacing w:before="0" w:beforeAutospacing="0" w:after="0" w:afterAutospacing="0" w:line="560" w:lineRule="exact"/>
        <w:ind w:firstLine="643" w:firstLineChars="200"/>
        <w:rPr>
          <w:rFonts w:ascii="仿宋_GB2312" w:hAnsi="Arial" w:eastAsia="仿宋_GB2312" w:cs="Arial"/>
          <w:sz w:val="32"/>
          <w:szCs w:val="32"/>
        </w:rPr>
      </w:pPr>
      <w:r>
        <w:rPr>
          <w:rStyle w:val="7"/>
          <w:rFonts w:hint="eastAsia" w:ascii="仿宋_GB2312" w:hAnsi="Arial" w:eastAsia="仿宋_GB2312" w:cs="Arial"/>
          <w:sz w:val="32"/>
          <w:szCs w:val="32"/>
        </w:rPr>
        <w:t>（一）大学物理</w:t>
      </w:r>
    </w:p>
    <w:p w14:paraId="619A4F95">
      <w:pPr>
        <w:pStyle w:val="4"/>
        <w:shd w:val="clear" w:color="auto" w:fill="FAFAFA"/>
        <w:spacing w:before="0" w:beforeAutospacing="0" w:after="0" w:afterAutospacing="0" w:line="560" w:lineRule="exact"/>
        <w:ind w:firstLine="640" w:firstLineChars="200"/>
        <w:rPr>
          <w:rFonts w:ascii="仿宋_GB2312" w:hAnsi="Arial" w:eastAsia="仿宋_GB2312" w:cs="Arial"/>
          <w:sz w:val="32"/>
          <w:szCs w:val="32"/>
        </w:rPr>
      </w:pPr>
      <w:r>
        <w:rPr>
          <w:rFonts w:hint="eastAsia" w:ascii="仿宋_GB2312" w:hAnsi="Arial" w:eastAsia="仿宋_GB2312" w:cs="Arial"/>
          <w:sz w:val="32"/>
          <w:szCs w:val="32"/>
        </w:rPr>
        <w:t>考试中的大学物理部分主要考查考生对大学物理中基本概念和基本方法的理解和应用。</w:t>
      </w:r>
    </w:p>
    <w:p w14:paraId="261CEB9B">
      <w:pPr>
        <w:pStyle w:val="4"/>
        <w:shd w:val="clear" w:color="auto" w:fill="FAFAFA"/>
        <w:spacing w:before="0" w:beforeAutospacing="0" w:after="0" w:afterAutospacing="0" w:line="560" w:lineRule="exact"/>
        <w:ind w:firstLine="640" w:firstLineChars="200"/>
        <w:rPr>
          <w:rFonts w:ascii="仿宋_GB2312" w:hAnsi="Arial" w:eastAsia="仿宋_GB2312" w:cs="Arial"/>
          <w:sz w:val="32"/>
          <w:szCs w:val="32"/>
        </w:rPr>
      </w:pPr>
      <w:r>
        <w:rPr>
          <w:rFonts w:hint="eastAsia" w:ascii="仿宋_GB2312" w:hAnsi="Arial" w:eastAsia="仿宋_GB2312" w:cs="Arial"/>
          <w:sz w:val="32"/>
          <w:szCs w:val="32"/>
        </w:rPr>
        <w:t>试题涉及的知识范围有：</w:t>
      </w:r>
    </w:p>
    <w:p w14:paraId="23373DEF">
      <w:pPr>
        <w:pStyle w:val="4"/>
        <w:shd w:val="clear" w:color="auto" w:fill="FAFAFA"/>
        <w:spacing w:before="0" w:beforeAutospacing="0" w:after="0" w:afterAutospacing="0" w:line="560" w:lineRule="exact"/>
        <w:ind w:firstLine="643" w:firstLineChars="200"/>
        <w:rPr>
          <w:rStyle w:val="7"/>
          <w:rFonts w:ascii="仿宋_GB2312" w:hAnsi="Arial" w:eastAsia="仿宋_GB2312" w:cs="Arial"/>
          <w:sz w:val="32"/>
          <w:szCs w:val="32"/>
        </w:rPr>
      </w:pPr>
      <w:r>
        <w:rPr>
          <w:rStyle w:val="7"/>
          <w:rFonts w:hint="eastAsia" w:ascii="仿宋_GB2312" w:hAnsi="Arial" w:eastAsia="仿宋_GB2312" w:cs="Arial"/>
          <w:sz w:val="32"/>
          <w:szCs w:val="32"/>
        </w:rPr>
        <w:t>1.力学</w:t>
      </w:r>
    </w:p>
    <w:p w14:paraId="2B3536E5">
      <w:pPr>
        <w:pStyle w:val="4"/>
        <w:shd w:val="clear" w:color="auto" w:fill="FAFAFA"/>
        <w:spacing w:before="0" w:beforeAutospacing="0" w:after="0" w:afterAutospacing="0" w:line="560" w:lineRule="exact"/>
        <w:ind w:firstLine="640" w:firstLineChars="200"/>
        <w:rPr>
          <w:rFonts w:ascii="仿宋_GB2312" w:hAnsi="Arial" w:eastAsia="仿宋_GB2312" w:cs="Arial"/>
          <w:sz w:val="32"/>
          <w:szCs w:val="32"/>
        </w:rPr>
      </w:pPr>
      <w:r>
        <w:rPr>
          <w:rFonts w:hint="eastAsia" w:ascii="仿宋_GB2312" w:hAnsi="Arial" w:eastAsia="仿宋_GB2312" w:cs="Arial"/>
          <w:sz w:val="32"/>
          <w:szCs w:val="32"/>
        </w:rPr>
        <w:t>质点运动的描述、直线运动、曲线运动、相对运动、牛顿运动定律及应用、质点（系）的动量定理、动量守恒定律、保守力、势能、功能原理和机械能守恒定律。</w:t>
      </w:r>
    </w:p>
    <w:p w14:paraId="6816982E">
      <w:pPr>
        <w:pStyle w:val="4"/>
        <w:shd w:val="clear" w:color="auto" w:fill="FAFAFA"/>
        <w:spacing w:before="0" w:beforeAutospacing="0" w:after="0" w:afterAutospacing="0" w:line="560" w:lineRule="exact"/>
        <w:ind w:firstLine="643" w:firstLineChars="200"/>
        <w:rPr>
          <w:rFonts w:ascii="仿宋_GB2312" w:hAnsi="Arial" w:eastAsia="仿宋_GB2312" w:cs="Arial"/>
          <w:sz w:val="32"/>
          <w:szCs w:val="32"/>
        </w:rPr>
      </w:pPr>
      <w:r>
        <w:rPr>
          <w:rStyle w:val="7"/>
          <w:rFonts w:hint="eastAsia" w:ascii="仿宋_GB2312" w:hAnsi="Arial" w:eastAsia="仿宋_GB2312" w:cs="Arial"/>
          <w:sz w:val="32"/>
          <w:szCs w:val="32"/>
        </w:rPr>
        <w:t>2.</w:t>
      </w:r>
      <w:r>
        <w:rPr>
          <w:rFonts w:hint="eastAsia"/>
        </w:rPr>
        <w:t xml:space="preserve"> </w:t>
      </w:r>
      <w:r>
        <w:rPr>
          <w:rStyle w:val="7"/>
          <w:rFonts w:hint="eastAsia" w:ascii="仿宋_GB2312" w:hAnsi="Arial" w:eastAsia="仿宋_GB2312" w:cs="Arial"/>
          <w:sz w:val="32"/>
          <w:szCs w:val="32"/>
        </w:rPr>
        <w:t>电磁学</w:t>
      </w:r>
    </w:p>
    <w:p w14:paraId="747DD52D">
      <w:pPr>
        <w:pStyle w:val="4"/>
        <w:shd w:val="clear" w:color="auto" w:fill="FAFAFA"/>
        <w:spacing w:before="0" w:beforeAutospacing="0" w:after="0" w:afterAutospacing="0" w:line="560" w:lineRule="exact"/>
        <w:ind w:firstLine="640" w:firstLineChars="200"/>
        <w:rPr>
          <w:rFonts w:ascii="仿宋_GB2312" w:hAnsi="Arial" w:eastAsia="仿宋_GB2312" w:cs="Arial"/>
          <w:sz w:val="32"/>
          <w:szCs w:val="32"/>
        </w:rPr>
      </w:pPr>
      <w:r>
        <w:rPr>
          <w:rFonts w:hint="eastAsia" w:ascii="仿宋_GB2312" w:hAnsi="Arial" w:eastAsia="仿宋_GB2312" w:cs="Arial"/>
          <w:sz w:val="32"/>
          <w:szCs w:val="32"/>
        </w:rPr>
        <w:t>库仑定律、电场强度和电势（差）的求解、导体静电平衡时的电学性质和电场分布、电容器、电场的能量密度及能量、安培环路定理的理解及应用、磁感应强度、洛伦兹力和安培力、电磁感应定律、动生电动势、感生电动势。</w:t>
      </w:r>
    </w:p>
    <w:p w14:paraId="69F2939E">
      <w:pPr>
        <w:pStyle w:val="4"/>
        <w:shd w:val="clear" w:color="auto" w:fill="FAFAFA"/>
        <w:spacing w:before="0" w:beforeAutospacing="0" w:after="0" w:afterAutospacing="0" w:line="560" w:lineRule="exact"/>
        <w:ind w:firstLine="643" w:firstLineChars="200"/>
        <w:rPr>
          <w:rStyle w:val="7"/>
          <w:rFonts w:ascii="仿宋_GB2312" w:hAnsi="Arial" w:eastAsia="仿宋_GB2312" w:cs="Arial"/>
          <w:sz w:val="32"/>
          <w:szCs w:val="32"/>
        </w:rPr>
      </w:pPr>
      <w:r>
        <w:rPr>
          <w:rStyle w:val="7"/>
          <w:rFonts w:hint="eastAsia" w:ascii="仿宋_GB2312" w:hAnsi="Arial" w:eastAsia="仿宋_GB2312" w:cs="Arial"/>
          <w:sz w:val="32"/>
          <w:szCs w:val="32"/>
        </w:rPr>
        <w:t>（二）物理课程与教材</w:t>
      </w:r>
    </w:p>
    <w:p w14:paraId="27079C79">
      <w:pPr>
        <w:pStyle w:val="4"/>
        <w:shd w:val="clear" w:color="auto" w:fill="FAFAFA"/>
        <w:spacing w:before="0" w:beforeAutospacing="0" w:after="0" w:afterAutospacing="0" w:line="560" w:lineRule="exact"/>
        <w:ind w:firstLine="640" w:firstLineChars="200"/>
        <w:rPr>
          <w:rFonts w:ascii="仿宋_GB2312" w:hAnsi="Arial" w:eastAsia="仿宋_GB2312" w:cs="Arial"/>
          <w:color w:val="000000" w:themeColor="text1"/>
          <w:sz w:val="32"/>
          <w:szCs w:val="32"/>
          <w14:textFill>
            <w14:solidFill>
              <w14:schemeClr w14:val="tx1"/>
            </w14:solidFill>
          </w14:textFill>
        </w:rPr>
      </w:pPr>
      <w:r>
        <w:rPr>
          <w:rFonts w:hint="eastAsia" w:ascii="仿宋_GB2312" w:hAnsi="Arial" w:eastAsia="仿宋_GB2312" w:cs="Arial"/>
          <w:color w:val="000000" w:themeColor="text1"/>
          <w:sz w:val="32"/>
          <w:szCs w:val="32"/>
          <w14:textFill>
            <w14:solidFill>
              <w14:schemeClr w14:val="tx1"/>
            </w14:solidFill>
          </w14:textFill>
        </w:rPr>
        <w:t>本部分主要考查考生对中学物理课程、教材及教学的理解，运用物理课程与教学相关理论对中学物理有关问题进行推理、论证、比较、评价等综合能力。</w:t>
      </w:r>
    </w:p>
    <w:p w14:paraId="7A52B35A">
      <w:pPr>
        <w:pStyle w:val="4"/>
        <w:shd w:val="clear" w:color="auto" w:fill="FAFAFA"/>
        <w:spacing w:before="0" w:beforeAutospacing="0" w:after="0" w:afterAutospacing="0" w:line="560" w:lineRule="exact"/>
        <w:ind w:firstLine="640" w:firstLineChars="200"/>
        <w:rPr>
          <w:rFonts w:ascii="仿宋_GB2312" w:hAnsi="Arial" w:eastAsia="仿宋_GB2312" w:cs="Arial"/>
          <w:color w:val="FF0000"/>
          <w:sz w:val="32"/>
          <w:szCs w:val="32"/>
        </w:rPr>
      </w:pPr>
      <w:r>
        <w:rPr>
          <w:rFonts w:hint="eastAsia" w:ascii="仿宋_GB2312" w:hAnsi="Arial" w:eastAsia="仿宋_GB2312" w:cs="Arial"/>
          <w:color w:val="000000" w:themeColor="text1"/>
          <w:sz w:val="32"/>
          <w:szCs w:val="32"/>
          <w14:textFill>
            <w14:solidFill>
              <w14:schemeClr w14:val="tx1"/>
            </w14:solidFill>
          </w14:textFill>
        </w:rPr>
        <w:t>内容主要为中学物理教材分析、物理现象和问题分析、中学物理实验研究等方面。</w:t>
      </w:r>
    </w:p>
    <w:p w14:paraId="07620C26">
      <w:pPr>
        <w:pStyle w:val="4"/>
        <w:shd w:val="clear" w:color="auto" w:fill="FAFAFA"/>
        <w:spacing w:before="0" w:beforeAutospacing="0" w:after="0" w:afterAutospacing="0" w:line="560" w:lineRule="exact"/>
        <w:ind w:firstLine="643" w:firstLineChars="200"/>
        <w:rPr>
          <w:rStyle w:val="7"/>
          <w:rFonts w:ascii="仿宋_GB2312" w:hAnsi="Arial" w:eastAsia="仿宋_GB2312" w:cs="Arial"/>
          <w:sz w:val="32"/>
          <w:szCs w:val="32"/>
        </w:rPr>
      </w:pPr>
      <w:r>
        <w:rPr>
          <w:rStyle w:val="7"/>
          <w:rFonts w:hint="eastAsia" w:ascii="仿宋_GB2312" w:hAnsi="Arial" w:eastAsia="仿宋_GB2312" w:cs="Arial"/>
          <w:sz w:val="32"/>
          <w:szCs w:val="32"/>
        </w:rPr>
        <w:t>（三）教学设计</w:t>
      </w:r>
    </w:p>
    <w:p w14:paraId="25ECD318">
      <w:pPr>
        <w:ind w:firstLine="640" w:firstLineChars="200"/>
        <w:rPr>
          <w:rFonts w:ascii="仿宋_GB2312" w:eastAsia="仿宋_GB2312"/>
          <w:sz w:val="32"/>
          <w:szCs w:val="32"/>
        </w:rPr>
      </w:pPr>
      <w:r>
        <w:rPr>
          <w:rFonts w:hint="eastAsia" w:ascii="仿宋_GB2312" w:hAnsi="Arial" w:eastAsia="仿宋_GB2312" w:cs="Arial"/>
          <w:color w:val="000000" w:themeColor="text1"/>
          <w:sz w:val="32"/>
          <w:szCs w:val="32"/>
          <w14:textFill>
            <w14:solidFill>
              <w14:schemeClr w14:val="tx1"/>
            </w14:solidFill>
          </w14:textFill>
        </w:rPr>
        <w:t>本部分主要考查学生对</w:t>
      </w:r>
      <w:r>
        <w:rPr>
          <w:rFonts w:hint="eastAsia" w:ascii="仿宋_GB2312" w:hAnsi="Arial" w:eastAsia="仿宋_GB2312" w:cs="Arial"/>
          <w:color w:val="000000" w:themeColor="text1"/>
          <w:kern w:val="0"/>
          <w:sz w:val="32"/>
          <w:szCs w:val="32"/>
          <w14:textFill>
            <w14:solidFill>
              <w14:schemeClr w14:val="tx1"/>
            </w14:solidFill>
          </w14:textFill>
        </w:rPr>
        <w:t>物理课程理念、课程目标的理解和实践能力。包括依据物理核心素养进行物理教材分析、学生分析和教学设计能力，并具备一定的案例分析与评价的能力。</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A4DBD"/>
    <w:multiLevelType w:val="multilevel"/>
    <w:tmpl w:val="065A4DBD"/>
    <w:lvl w:ilvl="0" w:tentative="0">
      <w:start w:val="1"/>
      <w:numFmt w:val="chineseCountingThousand"/>
      <w:suff w:val="nothing"/>
      <w:lvlText w:val="%1、"/>
      <w:lvlJc w:val="left"/>
      <w:pPr>
        <w:ind w:left="1063" w:hanging="420"/>
      </w:pPr>
      <w:rPr>
        <w:rFonts w:hint="eastAsia"/>
      </w:rPr>
    </w:lvl>
    <w:lvl w:ilvl="1" w:tentative="0">
      <w:start w:val="1"/>
      <w:numFmt w:val="lowerLetter"/>
      <w:lvlText w:val="%2)"/>
      <w:lvlJc w:val="left"/>
      <w:pPr>
        <w:ind w:left="1483" w:hanging="420"/>
      </w:pPr>
    </w:lvl>
    <w:lvl w:ilvl="2" w:tentative="0">
      <w:start w:val="1"/>
      <w:numFmt w:val="lowerRoman"/>
      <w:lvlText w:val="%3."/>
      <w:lvlJc w:val="right"/>
      <w:pPr>
        <w:ind w:left="1903" w:hanging="420"/>
      </w:pPr>
    </w:lvl>
    <w:lvl w:ilvl="3" w:tentative="0">
      <w:start w:val="1"/>
      <w:numFmt w:val="decimal"/>
      <w:lvlText w:val="%4."/>
      <w:lvlJc w:val="left"/>
      <w:pPr>
        <w:ind w:left="2323" w:hanging="420"/>
      </w:pPr>
    </w:lvl>
    <w:lvl w:ilvl="4" w:tentative="0">
      <w:start w:val="1"/>
      <w:numFmt w:val="lowerLetter"/>
      <w:lvlText w:val="%5)"/>
      <w:lvlJc w:val="left"/>
      <w:pPr>
        <w:ind w:left="2743" w:hanging="420"/>
      </w:pPr>
    </w:lvl>
    <w:lvl w:ilvl="5" w:tentative="0">
      <w:start w:val="1"/>
      <w:numFmt w:val="lowerRoman"/>
      <w:lvlText w:val="%6."/>
      <w:lvlJc w:val="right"/>
      <w:pPr>
        <w:ind w:left="3163" w:hanging="420"/>
      </w:pPr>
    </w:lvl>
    <w:lvl w:ilvl="6" w:tentative="0">
      <w:start w:val="1"/>
      <w:numFmt w:val="decimal"/>
      <w:lvlText w:val="%7."/>
      <w:lvlJc w:val="left"/>
      <w:pPr>
        <w:ind w:left="3583" w:hanging="420"/>
      </w:pPr>
    </w:lvl>
    <w:lvl w:ilvl="7" w:tentative="0">
      <w:start w:val="1"/>
      <w:numFmt w:val="lowerLetter"/>
      <w:lvlText w:val="%8)"/>
      <w:lvlJc w:val="left"/>
      <w:pPr>
        <w:ind w:left="4003" w:hanging="420"/>
      </w:pPr>
    </w:lvl>
    <w:lvl w:ilvl="8" w:tentative="0">
      <w:start w:val="1"/>
      <w:numFmt w:val="lowerRoman"/>
      <w:lvlText w:val="%9."/>
      <w:lvlJc w:val="right"/>
      <w:pPr>
        <w:ind w:left="4423"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VmNDk4MWE0NmZjMWEwMWQwODU0YjBiZGRhZDRiMDcifQ=="/>
  </w:docVars>
  <w:rsids>
    <w:rsidRoot w:val="00347C36"/>
    <w:rsid w:val="000C0991"/>
    <w:rsid w:val="000D4029"/>
    <w:rsid w:val="00113768"/>
    <w:rsid w:val="0015419F"/>
    <w:rsid w:val="001C3A73"/>
    <w:rsid w:val="001C646B"/>
    <w:rsid w:val="001E08A8"/>
    <w:rsid w:val="00217E9E"/>
    <w:rsid w:val="00255844"/>
    <w:rsid w:val="00347C36"/>
    <w:rsid w:val="003C744C"/>
    <w:rsid w:val="003F5949"/>
    <w:rsid w:val="004215E0"/>
    <w:rsid w:val="0044484D"/>
    <w:rsid w:val="00722FC2"/>
    <w:rsid w:val="00742A24"/>
    <w:rsid w:val="008C2FA3"/>
    <w:rsid w:val="00A21012"/>
    <w:rsid w:val="00A33DC8"/>
    <w:rsid w:val="00A55B25"/>
    <w:rsid w:val="00AA667C"/>
    <w:rsid w:val="00AF3F22"/>
    <w:rsid w:val="00B14864"/>
    <w:rsid w:val="00B7484D"/>
    <w:rsid w:val="00B804EA"/>
    <w:rsid w:val="00CC76F8"/>
    <w:rsid w:val="00D13FEB"/>
    <w:rsid w:val="00D3456B"/>
    <w:rsid w:val="00DC73D7"/>
    <w:rsid w:val="00E76BEF"/>
    <w:rsid w:val="00EE0D57"/>
    <w:rsid w:val="00F32B71"/>
    <w:rsid w:val="00F66A37"/>
    <w:rsid w:val="00F71D07"/>
    <w:rsid w:val="00FA6E2C"/>
    <w:rsid w:val="00FB72F4"/>
    <w:rsid w:val="049F4C45"/>
    <w:rsid w:val="08255ED1"/>
    <w:rsid w:val="178B496E"/>
    <w:rsid w:val="4F570584"/>
    <w:rsid w:val="58E43F49"/>
    <w:rsid w:val="678800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Strong"/>
    <w:basedOn w:val="6"/>
    <w:qFormat/>
    <w:uiPriority w:val="22"/>
    <w:rPr>
      <w:b/>
      <w:bCs/>
    </w:rPr>
  </w:style>
  <w:style w:type="character" w:styleId="8">
    <w:name w:val="Hyperlink"/>
    <w:basedOn w:val="6"/>
    <w:semiHidden/>
    <w:unhideWhenUsed/>
    <w:qFormat/>
    <w:uiPriority w:val="99"/>
    <w:rPr>
      <w:color w:val="0000FF"/>
      <w:u w:val="single"/>
    </w:rPr>
  </w:style>
  <w:style w:type="character" w:customStyle="1" w:styleId="9">
    <w:name w:val="页眉 字符"/>
    <w:basedOn w:val="6"/>
    <w:link w:val="3"/>
    <w:qFormat/>
    <w:uiPriority w:val="99"/>
    <w:rPr>
      <w:sz w:val="18"/>
      <w:szCs w:val="18"/>
    </w:rPr>
  </w:style>
  <w:style w:type="character" w:customStyle="1" w:styleId="10">
    <w:name w:val="页脚 字符"/>
    <w:basedOn w:val="6"/>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Micorosoft</Company>
  <Pages>2</Pages>
  <Words>818</Words>
  <Characters>829</Characters>
  <Lines>6</Lines>
  <Paragraphs>1</Paragraphs>
  <TotalTime>2</TotalTime>
  <ScaleCrop>false</ScaleCrop>
  <LinksUpToDate>false</LinksUpToDate>
  <CharactersWithSpaces>834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2023-09-05T12:27:00Z</dcterms:created>
  <dc:creator>张琼渊</dc:creator>
  <cp:lastModifiedBy>物能-石茜</cp:lastModifiedBy>
  <dcterms:modified xsi:type="dcterms:W3CDTF">2026-06-29T08:32:07Z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A6BE2E2293D949A5B5B3429B691C31EA</vt:lpwstr>
  </property>
  <property fmtid="{D5CDD505-2E9C-101B-9397-08002B2CF9AE}" pid="4" name="KSOTemplateDocerSaveRecord">
    <vt:lpwstr>eyJoZGlkIjoiYzMxZTVhOGVjZTdhNWYwYWRkMDMwZGQyOTdmNGVhMGMiLCJ1c2VySWQiOiIxNzI2NTMyODU1In0=</vt:lpwstr>
  </property>
</Properties>
</file>