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3B7316">
      <w:pPr>
        <w:pStyle w:val="2"/>
        <w:shd w:val="clear" w:color="auto" w:fill="FAFAFA"/>
        <w:spacing w:before="0" w:beforeAutospacing="0" w:after="0" w:afterAutospacing="0" w:line="600" w:lineRule="exact"/>
        <w:jc w:val="center"/>
        <w:outlineLvl w:val="0"/>
        <w:rPr>
          <w:rFonts w:ascii="方正小标宋简体" w:hAnsi="Arial" w:eastAsia="方正小标宋简体" w:cs="Arial"/>
          <w:sz w:val="44"/>
          <w:szCs w:val="36"/>
        </w:rPr>
      </w:pPr>
      <w:r>
        <w:rPr>
          <w:rStyle w:val="5"/>
          <w:rFonts w:hint="eastAsia" w:ascii="方正小标宋简体" w:hAnsi="Arial" w:eastAsia="方正小标宋简体" w:cs="Arial"/>
          <w:sz w:val="44"/>
          <w:szCs w:val="36"/>
        </w:rPr>
        <w:t>硕士研究生入学考试大纲</w:t>
      </w:r>
      <w:r>
        <w:rPr>
          <w:rStyle w:val="5"/>
          <w:rFonts w:ascii="方正小标宋简体" w:hAnsi="Arial" w:eastAsia="方正小标宋简体" w:cs="Arial"/>
          <w:sz w:val="44"/>
          <w:szCs w:val="36"/>
        </w:rPr>
        <w:br w:type="textWrapping"/>
      </w:r>
      <w:r>
        <w:rPr>
          <w:rFonts w:hint="eastAsia" w:ascii="方正小标宋简体" w:hAnsi="Arial" w:eastAsia="方正小标宋简体" w:cs="Arial"/>
          <w:sz w:val="44"/>
          <w:szCs w:val="36"/>
        </w:rPr>
        <w:t>《842人文地理学》</w:t>
      </w:r>
    </w:p>
    <w:p w14:paraId="4778F6D4">
      <w:pPr>
        <w:pStyle w:val="2"/>
        <w:shd w:val="clear" w:color="auto" w:fill="FAFAFA"/>
        <w:spacing w:before="0" w:beforeAutospacing="0" w:after="0" w:afterAutospacing="0" w:line="600" w:lineRule="exact"/>
        <w:jc w:val="center"/>
        <w:rPr>
          <w:rFonts w:ascii="方正小标宋简体" w:hAnsi="Arial" w:eastAsia="方正小标宋简体" w:cs="Arial"/>
          <w:sz w:val="44"/>
          <w:szCs w:val="36"/>
        </w:rPr>
      </w:pPr>
    </w:p>
    <w:p w14:paraId="533520B8">
      <w:pPr>
        <w:pStyle w:val="2"/>
        <w:numPr>
          <w:ilvl w:val="0"/>
          <w:numId w:val="1"/>
        </w:numPr>
        <w:shd w:val="clear" w:color="auto" w:fill="FAFAFA"/>
        <w:spacing w:before="0" w:beforeAutospacing="0" w:after="0" w:afterAutospacing="0" w:line="560" w:lineRule="exact"/>
        <w:ind w:left="0" w:firstLine="643" w:firstLineChars="200"/>
        <w:outlineLvl w:val="1"/>
        <w:rPr>
          <w:rFonts w:ascii="黑体" w:hAnsi="黑体" w:eastAsia="黑体" w:cs="Arial"/>
          <w:sz w:val="32"/>
          <w:szCs w:val="32"/>
        </w:rPr>
      </w:pPr>
      <w:r>
        <w:rPr>
          <w:rStyle w:val="5"/>
          <w:rFonts w:hint="eastAsia" w:ascii="黑体" w:hAnsi="黑体" w:eastAsia="黑体" w:cs="Arial"/>
          <w:sz w:val="32"/>
          <w:szCs w:val="32"/>
        </w:rPr>
        <w:t>考试性质</w:t>
      </w:r>
    </w:p>
    <w:p w14:paraId="449AEBBF">
      <w:pPr>
        <w:pStyle w:val="2"/>
        <w:shd w:val="clear" w:color="auto" w:fill="FAFAFA"/>
        <w:spacing w:before="0" w:beforeAutospacing="0" w:after="0" w:afterAutospacing="0"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人文地理学考试是为高等院校和科研院所招收地理学硕士（含人文地理、自然地理、地球信息系统等）、土地管理类硕士、城市与区域规划类硕士等而设置的具有选拔性质的全国大部分高校选考科目，其目的是科学、公平、有效地测试考生是否具备攻读相关专业学位所必需的基本素质、一般能力和培养潜能，评价的标准是高等学校本科毕业生所能达到的及格或及格以上水平，以利于各高等院校和科研院所在专业上择优选拔，确保专业学位硕士研究生的招生质量。</w:t>
      </w:r>
    </w:p>
    <w:p w14:paraId="0CCE2A1A">
      <w:pPr>
        <w:pStyle w:val="2"/>
        <w:numPr>
          <w:ilvl w:val="0"/>
          <w:numId w:val="1"/>
        </w:numPr>
        <w:shd w:val="clear" w:color="auto" w:fill="FAFAFA"/>
        <w:spacing w:before="0" w:beforeAutospacing="0" w:after="0" w:afterAutospacing="0" w:line="560" w:lineRule="exact"/>
        <w:ind w:left="0" w:firstLine="643" w:firstLineChars="200"/>
        <w:outlineLvl w:val="1"/>
        <w:rPr>
          <w:rStyle w:val="5"/>
          <w:rFonts w:ascii="黑体" w:hAnsi="黑体" w:eastAsia="黑体" w:cs="Arial"/>
          <w:sz w:val="32"/>
          <w:szCs w:val="32"/>
        </w:rPr>
      </w:pPr>
      <w:r>
        <w:rPr>
          <w:rStyle w:val="5"/>
          <w:rFonts w:hint="eastAsia" w:ascii="黑体" w:hAnsi="黑体" w:eastAsia="黑体" w:cs="Arial"/>
          <w:sz w:val="32"/>
          <w:szCs w:val="32"/>
        </w:rPr>
        <w:t>考查目标</w:t>
      </w:r>
    </w:p>
    <w:p w14:paraId="3243A8D2">
      <w:pPr>
        <w:pStyle w:val="2"/>
        <w:shd w:val="clear" w:color="auto" w:fill="FAFAFA"/>
        <w:spacing w:before="0" w:beforeAutospacing="0" w:after="0" w:afterAutospacing="0"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要求考生系统掌握人文地理学的基础理论、基础知识，掌握人文地理学主要的研究方法，掌握主要人文地理要素（经济、人口、城市、文化等）的特征、形成机制、空间分异规律和发展规律，掌握人文地理各要素之间的相互关系，彼此之间相互作用的动态过程，能够运用所学的基本理论、基本知识和基本方法分析和解决有关理论问题和实际问题。</w:t>
      </w:r>
    </w:p>
    <w:p w14:paraId="31EAE4A3">
      <w:pPr>
        <w:pStyle w:val="2"/>
        <w:numPr>
          <w:ilvl w:val="0"/>
          <w:numId w:val="1"/>
        </w:numPr>
        <w:shd w:val="clear" w:color="auto" w:fill="FAFAFA"/>
        <w:spacing w:before="0" w:beforeAutospacing="0" w:after="0" w:afterAutospacing="0" w:line="560" w:lineRule="exact"/>
        <w:ind w:left="0" w:firstLine="643" w:firstLineChars="200"/>
        <w:outlineLvl w:val="1"/>
        <w:rPr>
          <w:rStyle w:val="5"/>
          <w:rFonts w:ascii="黑体" w:hAnsi="黑体" w:eastAsia="黑体" w:cs="Arial"/>
          <w:sz w:val="32"/>
          <w:szCs w:val="32"/>
        </w:rPr>
      </w:pPr>
      <w:r>
        <w:rPr>
          <w:rStyle w:val="5"/>
          <w:rFonts w:hint="eastAsia" w:ascii="黑体" w:hAnsi="黑体" w:eastAsia="黑体" w:cs="Arial"/>
          <w:sz w:val="32"/>
          <w:szCs w:val="32"/>
        </w:rPr>
        <w:t>考试形式和试卷结构</w:t>
      </w:r>
    </w:p>
    <w:p w14:paraId="16D99389">
      <w:pPr>
        <w:pStyle w:val="2"/>
        <w:shd w:val="clear" w:color="auto" w:fill="FAFAFA"/>
        <w:spacing w:before="0" w:beforeAutospacing="0" w:after="0" w:afterAutospacing="0" w:line="560" w:lineRule="exact"/>
        <w:ind w:firstLine="643" w:firstLineChars="200"/>
        <w:rPr>
          <w:rFonts w:ascii="仿宋_GB2312" w:hAnsi="Arial" w:eastAsia="仿宋_GB2312" w:cs="Arial"/>
          <w:sz w:val="32"/>
          <w:szCs w:val="32"/>
        </w:rPr>
      </w:pPr>
      <w:r>
        <w:rPr>
          <w:rStyle w:val="5"/>
          <w:rFonts w:hint="eastAsia" w:ascii="仿宋_GB2312" w:hAnsi="Arial" w:eastAsia="仿宋_GB2312" w:cs="Arial"/>
          <w:sz w:val="32"/>
          <w:szCs w:val="32"/>
        </w:rPr>
        <w:t>（一）试卷满分及考试时间</w:t>
      </w:r>
    </w:p>
    <w:p w14:paraId="154A9DBF">
      <w:pPr>
        <w:pStyle w:val="2"/>
        <w:shd w:val="clear" w:color="auto" w:fill="FAFAFA"/>
        <w:spacing w:before="0" w:beforeAutospacing="0" w:after="0" w:afterAutospacing="0"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试卷满分为150分，考试时间为180分钟。</w:t>
      </w:r>
    </w:p>
    <w:p w14:paraId="239757E1">
      <w:pPr>
        <w:pStyle w:val="2"/>
        <w:shd w:val="clear" w:color="auto" w:fill="FAFAFA"/>
        <w:spacing w:before="0" w:beforeAutospacing="0" w:after="0" w:afterAutospacing="0" w:line="560" w:lineRule="exact"/>
        <w:ind w:firstLine="643" w:firstLineChars="200"/>
        <w:rPr>
          <w:rFonts w:ascii="仿宋_GB2312" w:hAnsi="Arial" w:eastAsia="仿宋_GB2312" w:cs="Arial"/>
          <w:sz w:val="32"/>
          <w:szCs w:val="32"/>
        </w:rPr>
      </w:pPr>
      <w:r>
        <w:rPr>
          <w:rStyle w:val="5"/>
          <w:rFonts w:hint="eastAsia" w:ascii="仿宋_GB2312" w:hAnsi="Arial" w:eastAsia="仿宋_GB2312" w:cs="Arial"/>
          <w:sz w:val="32"/>
          <w:szCs w:val="32"/>
        </w:rPr>
        <w:t>（二）答题方式</w:t>
      </w:r>
    </w:p>
    <w:p w14:paraId="7FBA674D">
      <w:pPr>
        <w:pStyle w:val="2"/>
        <w:shd w:val="clear" w:color="auto" w:fill="FAFAFA"/>
        <w:spacing w:before="0" w:beforeAutospacing="0" w:after="0" w:afterAutospacing="0" w:line="560" w:lineRule="exact"/>
        <w:ind w:firstLine="640" w:firstLineChars="200"/>
        <w:rPr>
          <w:rFonts w:ascii="仿宋_GB2312" w:hAnsi="Arial" w:eastAsia="仿宋_GB2312" w:cs="Arial"/>
          <w:sz w:val="32"/>
          <w:szCs w:val="32"/>
        </w:rPr>
      </w:pPr>
      <w:r>
        <w:rPr>
          <w:rFonts w:hint="eastAsia" w:ascii="仿宋_GB2312" w:hAnsi="Arial" w:eastAsia="仿宋_GB2312" w:cs="Arial"/>
          <w:sz w:val="32"/>
          <w:szCs w:val="32"/>
        </w:rPr>
        <w:t>答题方式为闭卷、笔试。不允许使用计算器。</w:t>
      </w:r>
    </w:p>
    <w:p w14:paraId="10871850">
      <w:pPr>
        <w:pStyle w:val="2"/>
        <w:shd w:val="clear" w:color="auto" w:fill="FAFAFA"/>
        <w:spacing w:before="0" w:beforeAutospacing="0" w:after="0" w:afterAutospacing="0" w:line="560" w:lineRule="exact"/>
        <w:ind w:firstLine="643" w:firstLineChars="200"/>
        <w:rPr>
          <w:rFonts w:ascii="仿宋_GB2312" w:hAnsi="Arial" w:eastAsia="仿宋_GB2312" w:cs="Arial"/>
          <w:sz w:val="32"/>
          <w:szCs w:val="32"/>
        </w:rPr>
      </w:pPr>
      <w:r>
        <w:rPr>
          <w:rStyle w:val="5"/>
          <w:rFonts w:hint="eastAsia" w:ascii="仿宋_GB2312" w:hAnsi="Arial" w:eastAsia="仿宋_GB2312" w:cs="Arial"/>
          <w:sz w:val="32"/>
          <w:szCs w:val="32"/>
        </w:rPr>
        <w:t>（三）试卷包含内容</w:t>
      </w:r>
    </w:p>
    <w:p w14:paraId="1D286677">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rPr>
        <w:t>问答题　　　　　4小题，每小题15分，共60分</w:t>
      </w:r>
    </w:p>
    <w:p w14:paraId="4FCB23DE">
      <w:pPr>
        <w:pStyle w:val="2"/>
        <w:shd w:val="clear" w:color="auto" w:fill="FAFAFA"/>
        <w:spacing w:before="0" w:beforeAutospacing="0" w:after="0" w:afterAutospacing="0" w:line="56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rPr>
        <w:t>综合分析题      3小题，每小题30分，共90分</w:t>
      </w:r>
    </w:p>
    <w:p w14:paraId="032E57FC">
      <w:pPr>
        <w:pStyle w:val="2"/>
        <w:numPr>
          <w:ilvl w:val="0"/>
          <w:numId w:val="1"/>
        </w:numPr>
        <w:shd w:val="clear" w:color="auto" w:fill="FAFAFA"/>
        <w:spacing w:before="0" w:beforeAutospacing="0" w:after="0" w:afterAutospacing="0" w:line="560" w:lineRule="exact"/>
        <w:ind w:left="0" w:firstLine="643" w:firstLineChars="200"/>
        <w:outlineLvl w:val="1"/>
        <w:rPr>
          <w:rStyle w:val="5"/>
          <w:rFonts w:ascii="黑体" w:hAnsi="黑体" w:eastAsia="黑体" w:cs="Arial"/>
          <w:sz w:val="32"/>
          <w:szCs w:val="32"/>
        </w:rPr>
      </w:pPr>
      <w:r>
        <w:rPr>
          <w:rStyle w:val="5"/>
          <w:rFonts w:hint="eastAsia" w:ascii="黑体" w:hAnsi="黑体" w:eastAsia="黑体" w:cs="Arial"/>
          <w:sz w:val="32"/>
          <w:szCs w:val="32"/>
        </w:rPr>
        <w:t>考查内容</w:t>
      </w:r>
    </w:p>
    <w:p w14:paraId="32F20D09">
      <w:pPr>
        <w:pStyle w:val="2"/>
        <w:shd w:val="clear" w:color="auto" w:fill="FAFAFA"/>
        <w:spacing w:before="0" w:beforeAutospacing="0" w:after="0" w:afterAutospacing="0" w:line="560" w:lineRule="exact"/>
        <w:ind w:firstLine="643" w:firstLineChars="200"/>
        <w:rPr>
          <w:rStyle w:val="5"/>
          <w:rFonts w:hint="eastAsia" w:ascii="仿宋_GB2312" w:hAnsi="Arial" w:eastAsia="仿宋_GB2312" w:cs="Arial"/>
          <w:sz w:val="32"/>
          <w:szCs w:val="32"/>
        </w:rPr>
      </w:pPr>
      <w:r>
        <w:rPr>
          <w:rStyle w:val="5"/>
          <w:rFonts w:hint="eastAsia" w:ascii="仿宋_GB2312" w:hAnsi="Arial" w:eastAsia="仿宋_GB2312" w:cs="Arial"/>
          <w:bCs w:val="0"/>
          <w:sz w:val="32"/>
          <w:szCs w:val="32"/>
        </w:rPr>
        <w:t>（一）人文地理学的基本概念</w:t>
      </w:r>
      <w:r>
        <w:rPr>
          <w:rStyle w:val="5"/>
          <w:rFonts w:hint="eastAsia" w:ascii="仿宋_GB2312" w:hAnsi="Arial" w:eastAsia="仿宋_GB2312" w:cs="Arial"/>
          <w:sz w:val="32"/>
          <w:szCs w:val="32"/>
        </w:rPr>
        <w:t xml:space="preserve">                                            </w:t>
      </w:r>
    </w:p>
    <w:p w14:paraId="479A46CE">
      <w:pPr>
        <w:pStyle w:val="2"/>
        <w:shd w:val="clear" w:color="auto" w:fill="FAFAFA"/>
        <w:spacing w:before="0" w:beforeAutospacing="0" w:after="0" w:afterAutospacing="0" w:line="560" w:lineRule="exact"/>
        <w:ind w:firstLine="643" w:firstLineChars="200"/>
        <w:rPr>
          <w:rStyle w:val="5"/>
          <w:rFonts w:hint="eastAsia" w:ascii="仿宋_GB2312" w:hAnsi="Arial" w:eastAsia="仿宋_GB2312" w:cs="Arial"/>
          <w:sz w:val="32"/>
          <w:szCs w:val="32"/>
        </w:rPr>
      </w:pPr>
      <w:r>
        <w:rPr>
          <w:rStyle w:val="5"/>
          <w:rFonts w:hint="eastAsia" w:ascii="仿宋_GB2312" w:hAnsi="Arial" w:eastAsia="仿宋_GB2312" w:cs="Arial"/>
          <w:sz w:val="32"/>
          <w:szCs w:val="32"/>
        </w:rPr>
        <w:t>人文地理学基本概念（研究对象、研究内容、学科特性、学科体系、发展过程）、基本理论（人地关系的概念、特点、发展变化，主要的人地关系理论流派）以及研究方法（人文地理学研究的一般过程、方法论、主要研究方法及其应用）。</w:t>
      </w:r>
    </w:p>
    <w:p w14:paraId="49785C3D">
      <w:pPr>
        <w:pStyle w:val="2"/>
        <w:shd w:val="clear" w:color="auto" w:fill="FAFAFA"/>
        <w:spacing w:before="0" w:beforeAutospacing="0" w:after="0" w:afterAutospacing="0" w:line="560" w:lineRule="exact"/>
        <w:ind w:firstLine="643" w:firstLineChars="200"/>
        <w:rPr>
          <w:rStyle w:val="5"/>
          <w:rFonts w:hint="eastAsia" w:ascii="仿宋_GB2312" w:hAnsi="Arial" w:eastAsia="仿宋_GB2312" w:cs="Arial"/>
          <w:sz w:val="32"/>
          <w:szCs w:val="32"/>
        </w:rPr>
      </w:pPr>
      <w:r>
        <w:rPr>
          <w:rStyle w:val="5"/>
          <w:rFonts w:hint="eastAsia" w:ascii="仿宋_GB2312" w:hAnsi="Arial" w:eastAsia="仿宋_GB2312" w:cs="Arial"/>
          <w:bCs w:val="0"/>
          <w:sz w:val="32"/>
          <w:szCs w:val="32"/>
        </w:rPr>
        <w:t>（二）经济地理学</w:t>
      </w:r>
    </w:p>
    <w:p w14:paraId="71308F08">
      <w:pPr>
        <w:pStyle w:val="2"/>
        <w:shd w:val="clear" w:color="auto" w:fill="FAFAFA"/>
        <w:spacing w:before="0" w:beforeAutospacing="0" w:after="0" w:afterAutospacing="0" w:line="560" w:lineRule="exact"/>
        <w:ind w:firstLine="643" w:firstLineChars="200"/>
        <w:rPr>
          <w:rStyle w:val="5"/>
          <w:rFonts w:hint="eastAsia" w:ascii="仿宋_GB2312" w:hAnsi="Arial" w:eastAsia="仿宋_GB2312" w:cs="Arial"/>
          <w:sz w:val="32"/>
          <w:szCs w:val="32"/>
        </w:rPr>
      </w:pPr>
      <w:r>
        <w:rPr>
          <w:rStyle w:val="5"/>
          <w:rFonts w:hint="eastAsia" w:ascii="仿宋_GB2312" w:hAnsi="Arial" w:eastAsia="仿宋_GB2312" w:cs="Arial"/>
          <w:sz w:val="32"/>
          <w:szCs w:val="32"/>
        </w:rPr>
        <w:t>经济地理学研究对象、性质、研究方法及研究进展；经济活动区位及影响因素分析、区域的结构与组织、区域经济发展与区域之间的空间组织；经济活动全球化的发展特点、影响因素、以及与地方化的关系。</w:t>
      </w:r>
    </w:p>
    <w:p w14:paraId="253AFE5D">
      <w:pPr>
        <w:pStyle w:val="2"/>
        <w:shd w:val="clear" w:color="auto" w:fill="FAFAFA"/>
        <w:spacing w:before="0" w:beforeAutospacing="0" w:after="0" w:afterAutospacing="0" w:line="560" w:lineRule="exact"/>
        <w:ind w:firstLine="643" w:firstLineChars="200"/>
        <w:rPr>
          <w:rStyle w:val="5"/>
          <w:rFonts w:hint="eastAsia" w:ascii="仿宋_GB2312" w:hAnsi="Arial" w:eastAsia="仿宋_GB2312" w:cs="Arial"/>
          <w:sz w:val="32"/>
          <w:szCs w:val="32"/>
        </w:rPr>
      </w:pPr>
      <w:r>
        <w:rPr>
          <w:rStyle w:val="5"/>
          <w:rFonts w:hint="eastAsia" w:ascii="仿宋_GB2312" w:hAnsi="Arial" w:eastAsia="仿宋_GB2312" w:cs="Arial"/>
          <w:bCs w:val="0"/>
          <w:sz w:val="32"/>
          <w:szCs w:val="32"/>
        </w:rPr>
        <w:t>（三）文化地理学</w:t>
      </w:r>
    </w:p>
    <w:p w14:paraId="0F2E21EF">
      <w:pPr>
        <w:pStyle w:val="2"/>
        <w:shd w:val="clear" w:color="auto" w:fill="FAFAFA"/>
        <w:spacing w:before="0" w:beforeAutospacing="0" w:after="0" w:afterAutospacing="0" w:line="560" w:lineRule="exact"/>
        <w:ind w:firstLine="643" w:firstLineChars="200"/>
        <w:rPr>
          <w:rStyle w:val="5"/>
          <w:rFonts w:hint="eastAsia" w:ascii="仿宋_GB2312" w:hAnsi="Arial" w:eastAsia="仿宋_GB2312" w:cs="Arial"/>
          <w:sz w:val="32"/>
          <w:szCs w:val="32"/>
        </w:rPr>
      </w:pPr>
      <w:r>
        <w:rPr>
          <w:rStyle w:val="5"/>
          <w:rFonts w:hint="eastAsia" w:ascii="仿宋_GB2312" w:hAnsi="Arial" w:eastAsia="仿宋_GB2312" w:cs="Arial"/>
          <w:sz w:val="32"/>
          <w:szCs w:val="32"/>
        </w:rPr>
        <w:t>文化的概念及结构，</w:t>
      </w:r>
      <w:r>
        <w:rPr>
          <w:rStyle w:val="5"/>
          <w:rFonts w:hint="eastAsia" w:ascii="仿宋_GB2312" w:hAnsi="Arial" w:eastAsia="仿宋_GB2312" w:cs="Arial"/>
          <w:sz w:val="32"/>
          <w:szCs w:val="32"/>
          <w:lang w:eastAsia="zh-CN"/>
        </w:rPr>
        <w:t>文化景观，文化扩散，文化区，文化整合，文化生态学</w:t>
      </w:r>
      <w:r>
        <w:rPr>
          <w:rStyle w:val="5"/>
          <w:rFonts w:hint="eastAsia" w:ascii="仿宋_GB2312" w:hAnsi="Arial" w:eastAsia="仿宋_GB2312" w:cs="Arial"/>
          <w:sz w:val="32"/>
          <w:szCs w:val="32"/>
        </w:rPr>
        <w:t>，宗教、语言、政治等非物质文化现象的地理特点。</w:t>
      </w:r>
    </w:p>
    <w:p w14:paraId="7232C462">
      <w:pPr>
        <w:pStyle w:val="2"/>
        <w:shd w:val="clear" w:color="auto" w:fill="FAFAFA"/>
        <w:spacing w:before="0" w:beforeAutospacing="0" w:after="0" w:afterAutospacing="0" w:line="560" w:lineRule="exact"/>
        <w:ind w:firstLine="643" w:firstLineChars="200"/>
        <w:rPr>
          <w:rStyle w:val="5"/>
          <w:rFonts w:hint="eastAsia" w:ascii="仿宋_GB2312" w:hAnsi="Arial" w:eastAsia="仿宋_GB2312" w:cs="Arial"/>
          <w:sz w:val="32"/>
          <w:szCs w:val="32"/>
        </w:rPr>
      </w:pPr>
      <w:r>
        <w:rPr>
          <w:rStyle w:val="5"/>
          <w:rFonts w:hint="eastAsia" w:ascii="仿宋_GB2312" w:hAnsi="Arial" w:eastAsia="仿宋_GB2312" w:cs="Arial"/>
          <w:sz w:val="32"/>
          <w:szCs w:val="32"/>
        </w:rPr>
        <w:t>（四）</w:t>
      </w:r>
      <w:r>
        <w:rPr>
          <w:rStyle w:val="5"/>
          <w:rFonts w:hint="eastAsia" w:ascii="仿宋_GB2312" w:hAnsi="Arial" w:eastAsia="仿宋_GB2312" w:cs="Arial"/>
          <w:bCs w:val="0"/>
          <w:sz w:val="32"/>
          <w:szCs w:val="32"/>
        </w:rPr>
        <w:t>人口地理学</w:t>
      </w:r>
    </w:p>
    <w:p w14:paraId="23BC09A4">
      <w:pPr>
        <w:pStyle w:val="2"/>
        <w:shd w:val="clear" w:color="auto" w:fill="FAFAFA"/>
        <w:spacing w:before="0" w:beforeAutospacing="0" w:after="0" w:afterAutospacing="0" w:line="560" w:lineRule="exact"/>
        <w:ind w:firstLine="643" w:firstLineChars="200"/>
        <w:rPr>
          <w:rStyle w:val="5"/>
          <w:rFonts w:hint="eastAsia" w:ascii="仿宋_GB2312" w:hAnsi="Arial" w:eastAsia="仿宋_GB2312" w:cs="Arial"/>
          <w:sz w:val="32"/>
          <w:szCs w:val="32"/>
        </w:rPr>
      </w:pPr>
      <w:r>
        <w:rPr>
          <w:rStyle w:val="5"/>
          <w:rFonts w:hint="eastAsia" w:ascii="仿宋_GB2312" w:hAnsi="Arial" w:eastAsia="仿宋_GB2312" w:cs="Arial"/>
          <w:sz w:val="32"/>
          <w:szCs w:val="32"/>
        </w:rPr>
        <w:t>人口</w:t>
      </w:r>
      <w:r>
        <w:rPr>
          <w:rStyle w:val="5"/>
          <w:rFonts w:hint="eastAsia" w:ascii="仿宋_GB2312" w:hAnsi="Arial" w:eastAsia="仿宋_GB2312" w:cs="Arial"/>
          <w:sz w:val="32"/>
          <w:szCs w:val="32"/>
          <w:lang w:eastAsia="zh-CN"/>
        </w:rPr>
        <w:t>规模与区域发展</w:t>
      </w:r>
      <w:r>
        <w:rPr>
          <w:rStyle w:val="5"/>
          <w:rFonts w:hint="eastAsia" w:ascii="仿宋_GB2312" w:hAnsi="Arial" w:eastAsia="仿宋_GB2312" w:cs="Arial"/>
          <w:sz w:val="32"/>
          <w:szCs w:val="32"/>
        </w:rPr>
        <w:t>，人口</w:t>
      </w:r>
      <w:r>
        <w:rPr>
          <w:rStyle w:val="5"/>
          <w:rFonts w:hint="eastAsia" w:ascii="仿宋_GB2312" w:hAnsi="Arial" w:eastAsia="仿宋_GB2312" w:cs="Arial"/>
          <w:sz w:val="32"/>
          <w:szCs w:val="32"/>
          <w:lang w:eastAsia="zh-CN"/>
        </w:rPr>
        <w:t>结构与区域发展</w:t>
      </w:r>
      <w:r>
        <w:rPr>
          <w:rStyle w:val="5"/>
          <w:rFonts w:hint="eastAsia" w:ascii="仿宋_GB2312" w:hAnsi="Arial" w:eastAsia="仿宋_GB2312" w:cs="Arial"/>
          <w:sz w:val="32"/>
          <w:szCs w:val="32"/>
        </w:rPr>
        <w:t>，人口分布，人口迁移</w:t>
      </w:r>
      <w:r>
        <w:rPr>
          <w:rStyle w:val="5"/>
          <w:rFonts w:hint="eastAsia" w:ascii="仿宋_GB2312" w:hAnsi="Arial" w:eastAsia="仿宋_GB2312" w:cs="Arial"/>
          <w:sz w:val="32"/>
          <w:szCs w:val="32"/>
          <w:lang w:eastAsia="zh-CN"/>
        </w:rPr>
        <w:t>与流动</w:t>
      </w:r>
      <w:bookmarkStart w:id="0" w:name="_GoBack"/>
      <w:bookmarkEnd w:id="0"/>
      <w:r>
        <w:rPr>
          <w:rStyle w:val="5"/>
          <w:rFonts w:hint="eastAsia" w:ascii="仿宋_GB2312" w:hAnsi="Arial" w:eastAsia="仿宋_GB2312" w:cs="Arial"/>
          <w:sz w:val="32"/>
          <w:szCs w:val="32"/>
        </w:rPr>
        <w:t>，人口城镇化。</w:t>
      </w:r>
    </w:p>
    <w:p w14:paraId="2C142892">
      <w:pPr>
        <w:pStyle w:val="2"/>
        <w:shd w:val="clear" w:color="auto" w:fill="FAFAFA"/>
        <w:spacing w:before="0" w:beforeAutospacing="0" w:after="0" w:afterAutospacing="0" w:line="560" w:lineRule="exact"/>
        <w:ind w:firstLine="643" w:firstLineChars="200"/>
        <w:rPr>
          <w:rStyle w:val="5"/>
          <w:rFonts w:hint="eastAsia" w:ascii="仿宋_GB2312" w:hAnsi="Arial" w:eastAsia="仿宋_GB2312" w:cs="Arial"/>
          <w:bCs w:val="0"/>
          <w:sz w:val="32"/>
          <w:szCs w:val="32"/>
        </w:rPr>
      </w:pPr>
      <w:r>
        <w:rPr>
          <w:rStyle w:val="5"/>
          <w:rFonts w:hint="eastAsia" w:ascii="仿宋_GB2312" w:hAnsi="Arial" w:eastAsia="仿宋_GB2312" w:cs="Arial"/>
          <w:bCs w:val="0"/>
          <w:sz w:val="32"/>
          <w:szCs w:val="32"/>
        </w:rPr>
        <w:t>（五）城市地理学</w:t>
      </w:r>
    </w:p>
    <w:p w14:paraId="40082B54">
      <w:pPr>
        <w:pStyle w:val="2"/>
        <w:shd w:val="clear" w:color="auto" w:fill="FAFAFA"/>
        <w:spacing w:before="0" w:beforeAutospacing="0" w:after="0" w:afterAutospacing="0" w:line="560" w:lineRule="exact"/>
        <w:ind w:firstLine="643" w:firstLineChars="200"/>
        <w:rPr>
          <w:rFonts w:ascii="仿宋_GB2312" w:eastAsia="仿宋_GB2312"/>
          <w:sz w:val="32"/>
          <w:szCs w:val="32"/>
        </w:rPr>
      </w:pPr>
      <w:r>
        <w:rPr>
          <w:rStyle w:val="5"/>
          <w:rFonts w:hint="eastAsia" w:ascii="仿宋_GB2312" w:hAnsi="Arial" w:eastAsia="仿宋_GB2312" w:cs="Arial"/>
          <w:bCs w:val="0"/>
          <w:sz w:val="32"/>
          <w:szCs w:val="32"/>
        </w:rPr>
        <w:t>城市的起源与发展，城市化及其动力机制，城市地域结构，城市体系，城市景观。</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5A4DBD"/>
    <w:multiLevelType w:val="multilevel"/>
    <w:tmpl w:val="065A4DBD"/>
    <w:lvl w:ilvl="0" w:tentative="0">
      <w:start w:val="1"/>
      <w:numFmt w:val="chineseCountingThousand"/>
      <w:suff w:val="nothing"/>
      <w:lvlText w:val="%1、"/>
      <w:lvlJc w:val="left"/>
      <w:pPr>
        <w:ind w:left="1063" w:hanging="420"/>
      </w:pPr>
      <w:rPr>
        <w:rFonts w:hint="eastAsia"/>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347C36"/>
    <w:rsid w:val="001E08A8"/>
    <w:rsid w:val="00347C36"/>
    <w:rsid w:val="004C5CB0"/>
    <w:rsid w:val="006163CD"/>
    <w:rsid w:val="006D16E1"/>
    <w:rsid w:val="007B5F2A"/>
    <w:rsid w:val="00851721"/>
    <w:rsid w:val="00921535"/>
    <w:rsid w:val="00B14864"/>
    <w:rsid w:val="026F2A2D"/>
    <w:rsid w:val="0A771D8B"/>
    <w:rsid w:val="2E9B223B"/>
    <w:rsid w:val="3FD953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5">
    <w:name w:val="Strong"/>
    <w:basedOn w:val="4"/>
    <w:qFormat/>
    <w:uiPriority w:val="22"/>
    <w:rPr>
      <w:b/>
      <w:bCs/>
    </w:rPr>
  </w:style>
  <w:style w:type="character" w:styleId="6">
    <w:name w:val="Hyperlink"/>
    <w:basedOn w:val="4"/>
    <w:semiHidden/>
    <w:unhideWhenUsed/>
    <w:uiPriority w:val="99"/>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Micorosoft</Company>
  <Pages>2</Pages>
  <Words>883</Words>
  <Characters>893</Characters>
  <Lines>6</Lines>
  <Paragraphs>1</Paragraphs>
  <TotalTime>1188</TotalTime>
  <ScaleCrop>false</ScaleCrop>
  <LinksUpToDate>false</LinksUpToDate>
  <CharactersWithSpaces>948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2023-06-29T06:04:00Z</dcterms:created>
  <dc:creator>张琼渊</dc:creator>
  <cp:lastModifiedBy>Administrator</cp:lastModifiedBy>
  <dcterms:modified xsi:type="dcterms:W3CDTF">2025-06-30T01:41:40Z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eyJoZGlkIjoiMjgxY2IxZTZjZTBjODExZWE3NjU0NjM0YTEzODQ1MWUifQ==</vt:lpwstr>
  </property>
  <property fmtid="{D5CDD505-2E9C-101B-9397-08002B2CF9AE}" pid="3" name="KSOProductBuildVer">
    <vt:lpwstr>2052-12.1.0.21541</vt:lpwstr>
  </property>
  <property fmtid="{D5CDD505-2E9C-101B-9397-08002B2CF9AE}" pid="4" name="ICV">
    <vt:lpwstr>590D21F6088345A58D6EC74315093139_12</vt:lpwstr>
  </property>
</Properties>
</file>