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福建师范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大学关于修订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专业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学位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硕士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研究生培养方案的指导性意见</w:t>
      </w:r>
    </w:p>
    <w:p>
      <w:pPr>
        <w:spacing w:line="560" w:lineRule="exact"/>
        <w:ind w:firstLine="720" w:firstLineChars="200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指导思想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等线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/>
          <w:b w:val="0"/>
          <w:bCs/>
          <w:sz w:val="32"/>
          <w:szCs w:val="32"/>
          <w:lang w:val="en-US" w:eastAsia="zh-CN"/>
        </w:rPr>
        <w:t>培养方案修订工作以习近平新时代中国特色社会主义思想为指导，以“立德树人、服务需求、提高质量、追求卓越”为主线，以建成富有鲜明特色的综合性全国一流大学为目标，</w:t>
      </w:r>
      <w:r>
        <w:rPr>
          <w:rFonts w:hint="eastAsia" w:ascii="仿宋_GB2312" w:hAnsi="等线" w:eastAsia="仿宋_GB2312"/>
          <w:sz w:val="32"/>
          <w:szCs w:val="32"/>
        </w:rPr>
        <w:t>紧扣国家重大战略需求和区域经济社会发展需求，</w:t>
      </w:r>
      <w:r>
        <w:rPr>
          <w:rFonts w:hint="eastAsia" w:ascii="仿宋_GB2312" w:hAnsi="等线" w:eastAsia="仿宋_GB2312"/>
          <w:bCs/>
          <w:sz w:val="32"/>
          <w:szCs w:val="32"/>
          <w:lang w:val="en-US" w:eastAsia="zh-CN"/>
        </w:rPr>
        <w:t>对标国内外一流高校一流学科，</w:t>
      </w:r>
      <w:r>
        <w:rPr>
          <w:rFonts w:hint="eastAsia" w:ascii="仿宋_GB2312" w:hAnsi="等线" w:eastAsia="仿宋_GB2312"/>
          <w:sz w:val="32"/>
          <w:szCs w:val="32"/>
        </w:rPr>
        <w:t>积极探索科教融合、产教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融合育人</w:t>
      </w:r>
      <w:r>
        <w:rPr>
          <w:rFonts w:hint="eastAsia" w:ascii="仿宋_GB2312" w:hAnsi="等线" w:eastAsia="仿宋_GB2312"/>
          <w:sz w:val="32"/>
          <w:szCs w:val="32"/>
        </w:rPr>
        <w:t>新机制、新举措</w:t>
      </w:r>
      <w:r>
        <w:rPr>
          <w:rFonts w:hint="eastAsia" w:ascii="仿宋_GB2312" w:hAnsi="等线" w:eastAsia="仿宋_GB2312"/>
          <w:b w:val="0"/>
          <w:bCs/>
          <w:sz w:val="32"/>
          <w:szCs w:val="32"/>
          <w:lang w:val="en-US" w:eastAsia="zh-CN"/>
        </w:rPr>
        <w:t>，全面实施新时代研究生教育改革创新，推进研究生教育治理体系和治理能力现代化，切实提升高层次创新人才培养质量，努力培养担当民族复兴大任的时代新人，培养德智体美劳全面发展的社会主义建设者和接班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基本原则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（一）坚持立德树人。</w:t>
      </w:r>
      <w:r>
        <w:rPr>
          <w:rFonts w:hint="eastAsia" w:ascii="仿宋_GB2312" w:hAnsi="等线" w:eastAsia="仿宋_GB2312"/>
          <w:b w:val="0"/>
          <w:bCs/>
          <w:sz w:val="32"/>
          <w:szCs w:val="32"/>
          <w:lang w:val="en-US" w:eastAsia="zh-CN"/>
        </w:rPr>
        <w:t>坚持正确育人导向，</w:t>
      </w:r>
      <w:r>
        <w:rPr>
          <w:rFonts w:hint="eastAsia" w:ascii="仿宋_GB2312" w:hAnsi="仿宋" w:eastAsia="仿宋_GB2312"/>
          <w:sz w:val="32"/>
          <w:szCs w:val="32"/>
        </w:rPr>
        <w:t>加强专业学位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硕士</w:t>
      </w:r>
      <w:r>
        <w:rPr>
          <w:rFonts w:hint="eastAsia" w:ascii="仿宋_GB2312" w:hAnsi="仿宋" w:eastAsia="仿宋_GB2312"/>
          <w:sz w:val="32"/>
          <w:szCs w:val="32"/>
        </w:rPr>
        <w:t>思想政治教育，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强化</w:t>
      </w:r>
      <w:r>
        <w:rPr>
          <w:rFonts w:hint="eastAsia" w:ascii="仿宋_GB2312" w:hAnsi="仿宋" w:eastAsia="仿宋_GB2312"/>
          <w:sz w:val="32"/>
          <w:szCs w:val="32"/>
        </w:rPr>
        <w:t>学术道德和职业伦理教育，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提升实践创新能力和未来职业发展能力，</w:t>
      </w:r>
      <w:r>
        <w:rPr>
          <w:rFonts w:hint="eastAsia" w:ascii="仿宋_GB2312" w:hAnsi="仿宋" w:eastAsia="仿宋_GB2312"/>
          <w:sz w:val="32"/>
          <w:szCs w:val="32"/>
        </w:rPr>
        <w:t>促进专业学位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硕士</w:t>
      </w:r>
      <w:r>
        <w:rPr>
          <w:rFonts w:hint="eastAsia" w:ascii="仿宋_GB2312" w:hAnsi="仿宋" w:eastAsia="仿宋_GB2312"/>
          <w:sz w:val="32"/>
          <w:szCs w:val="32"/>
        </w:rPr>
        <w:t>德智体美劳全面发展。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（二）注重分类培养。</w:t>
      </w:r>
      <w:r>
        <w:rPr>
          <w:rFonts w:hint="eastAsia" w:ascii="仿宋_GB2312" w:hAnsi="仿宋" w:eastAsia="仿宋_GB2312"/>
          <w:sz w:val="32"/>
          <w:szCs w:val="32"/>
        </w:rPr>
        <w:t>以教育指导委员会（简称“教指委”）指导性培养方案为依据，根据特定职业领域专门人才的知识能力结构和职业素养要求，紧密服务区域经济社会发展，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按专业学位类别（领域）</w:t>
      </w:r>
      <w:r>
        <w:rPr>
          <w:rFonts w:hint="eastAsia" w:ascii="仿宋_GB2312" w:hAnsi="仿宋" w:eastAsia="仿宋_GB2312"/>
          <w:sz w:val="32"/>
          <w:szCs w:val="32"/>
        </w:rPr>
        <w:t>制定区别于学术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学位</w:t>
      </w:r>
      <w:r>
        <w:rPr>
          <w:rFonts w:hint="eastAsia" w:ascii="仿宋_GB2312" w:hAnsi="仿宋" w:eastAsia="仿宋_GB2312"/>
          <w:sz w:val="32"/>
          <w:szCs w:val="32"/>
        </w:rPr>
        <w:t>硕士，凸显专业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学位</w:t>
      </w:r>
      <w:r>
        <w:rPr>
          <w:rFonts w:hint="eastAsia" w:ascii="仿宋_GB2312" w:hAnsi="仿宋" w:eastAsia="仿宋_GB2312"/>
          <w:sz w:val="32"/>
          <w:szCs w:val="32"/>
        </w:rPr>
        <w:t>硕士重应用、重实践的培养方案。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培养方案修订工作按专业学位点组织修订，</w:t>
      </w:r>
      <w:r>
        <w:rPr>
          <w:rFonts w:hint="eastAsia" w:ascii="仿宋_GB2312" w:hAnsi="仿宋" w:eastAsia="仿宋_GB2312"/>
          <w:sz w:val="32"/>
          <w:szCs w:val="32"/>
        </w:rPr>
        <w:t>全日制研究生和非全日制研究生须分别制定培养方案。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（三）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强化产教协同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积极联合相关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企业行业</w:t>
      </w:r>
      <w:r>
        <w:rPr>
          <w:rFonts w:hint="eastAsia" w:ascii="仿宋_GB2312" w:hAnsi="仿宋" w:eastAsia="仿宋_GB2312"/>
          <w:sz w:val="32"/>
          <w:szCs w:val="32"/>
        </w:rPr>
        <w:t>，建立稳定的专业学位研究生培养实践基地，搭建产教融合协同育人平台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推动专业学位人才培养目标与行业用人标准衔接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吸纳企业行</w:t>
      </w:r>
      <w:r>
        <w:rPr>
          <w:rFonts w:hint="eastAsia" w:ascii="仿宋_GB2312" w:hAnsi="仿宋" w:eastAsia="仿宋_GB2312"/>
          <w:sz w:val="32"/>
          <w:szCs w:val="32"/>
        </w:rPr>
        <w:t>业深度参与专业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学位</w:t>
      </w:r>
      <w:r>
        <w:rPr>
          <w:rFonts w:hint="eastAsia" w:ascii="仿宋_GB2312" w:hAnsi="仿宋" w:eastAsia="仿宋_GB2312"/>
          <w:sz w:val="32"/>
          <w:szCs w:val="32"/>
        </w:rPr>
        <w:t>硕士培养全过程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共同参与培养方案制定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落实校内导师与校外导师共同指导的双导师制</w:t>
      </w:r>
      <w:r>
        <w:rPr>
          <w:rFonts w:hint="eastAsia" w:ascii="仿宋_GB2312" w:hAnsi="仿宋" w:eastAsia="仿宋_GB2312"/>
          <w:sz w:val="32"/>
          <w:szCs w:val="32"/>
        </w:rPr>
        <w:t>，重视发挥校外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行业</w:t>
      </w:r>
      <w:r>
        <w:rPr>
          <w:rFonts w:hint="eastAsia" w:ascii="仿宋_GB2312" w:hAnsi="仿宋" w:eastAsia="仿宋_GB2312"/>
          <w:sz w:val="32"/>
          <w:szCs w:val="32"/>
        </w:rPr>
        <w:t>导师作用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（四）突出实践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创新</w:t>
      </w:r>
      <w:r>
        <w:rPr>
          <w:rFonts w:hint="eastAsia" w:ascii="楷体" w:hAnsi="楷体" w:eastAsia="楷体" w:cs="楷体"/>
          <w:b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专业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学位</w:t>
      </w:r>
      <w:r>
        <w:rPr>
          <w:rFonts w:hint="eastAsia" w:ascii="仿宋_GB2312" w:hAnsi="仿宋" w:eastAsia="仿宋_GB2312"/>
          <w:sz w:val="32"/>
          <w:szCs w:val="32"/>
        </w:rPr>
        <w:t>硕士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教育</w:t>
      </w:r>
      <w:r>
        <w:rPr>
          <w:rFonts w:hint="eastAsia" w:ascii="仿宋_GB2312" w:hAnsi="仿宋" w:eastAsia="仿宋_GB2312"/>
          <w:sz w:val="32"/>
          <w:szCs w:val="32"/>
        </w:rPr>
        <w:t>以培养高层次应用型专门人才为目标，课程设置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" w:eastAsia="仿宋_GB2312"/>
          <w:sz w:val="32"/>
          <w:szCs w:val="32"/>
        </w:rPr>
        <w:t>突出实践性和应用性，教学内容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要</w:t>
      </w:r>
      <w:r>
        <w:rPr>
          <w:rFonts w:hint="eastAsia" w:ascii="仿宋_GB2312" w:hAnsi="仿宋" w:eastAsia="仿宋_GB2312"/>
          <w:sz w:val="32"/>
          <w:szCs w:val="32"/>
        </w:rPr>
        <w:t>理论联系实际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教学方法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应加强</w:t>
      </w:r>
      <w:r>
        <w:rPr>
          <w:rFonts w:hint="eastAsia" w:ascii="仿宋_GB2312" w:hAnsi="仿宋" w:eastAsia="仿宋_GB2312"/>
          <w:sz w:val="32"/>
          <w:szCs w:val="32"/>
        </w:rPr>
        <w:t>案例教学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" w:eastAsia="仿宋_GB2312"/>
          <w:sz w:val="32"/>
          <w:szCs w:val="32"/>
        </w:rPr>
        <w:t>模拟训练等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重视</w:t>
      </w:r>
      <w:r>
        <w:rPr>
          <w:rFonts w:hint="eastAsia" w:ascii="仿宋_GB2312" w:hAnsi="仿宋" w:eastAsia="仿宋_GB2312"/>
          <w:sz w:val="32"/>
          <w:szCs w:val="32"/>
        </w:rPr>
        <w:t>实践环节，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规范</w:t>
      </w:r>
      <w:r>
        <w:rPr>
          <w:rFonts w:hint="eastAsia" w:ascii="仿宋_GB2312" w:hAnsi="仿宋" w:eastAsia="仿宋_GB2312"/>
          <w:sz w:val="32"/>
          <w:szCs w:val="32"/>
        </w:rPr>
        <w:t>实践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过程管理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严格实践考核，强化实践创新能力养成。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三、基本要求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theme="minorBidi"/>
          <w:sz w:val="32"/>
          <w:szCs w:val="32"/>
        </w:rPr>
        <w:t>培养方案按专业学位类别（领域）制定，具体与招生归口一致。以专业类别招生的按招生类别制定培养方案，以专业领域招生的按专业领域制定培养方案。原则上同一个专业类别（领域）只能制定一个培养方案，</w:t>
      </w:r>
      <w:r>
        <w:rPr>
          <w:rFonts w:hint="eastAsia" w:ascii="仿宋_GB2312" w:hAnsi="仿宋" w:eastAsia="仿宋_GB2312" w:cstheme="minorBidi"/>
          <w:sz w:val="32"/>
          <w:szCs w:val="32"/>
          <w:lang w:val="en-US" w:eastAsia="zh-CN"/>
        </w:rPr>
        <w:t>跨学院培养的</w:t>
      </w:r>
      <w:r>
        <w:rPr>
          <w:rFonts w:hint="eastAsia" w:ascii="仿宋_GB2312" w:hAnsi="仿宋" w:eastAsia="仿宋_GB2312" w:cstheme="minorBidi"/>
          <w:sz w:val="32"/>
          <w:szCs w:val="32"/>
        </w:rPr>
        <w:t>专业类别（领域），由</w:t>
      </w:r>
      <w:r>
        <w:rPr>
          <w:rFonts w:hint="eastAsia" w:ascii="仿宋_GB2312" w:hAnsi="仿宋" w:eastAsia="仿宋_GB2312" w:cstheme="minorBidi"/>
          <w:sz w:val="32"/>
          <w:szCs w:val="32"/>
          <w:lang w:val="en-US" w:eastAsia="zh-CN"/>
        </w:rPr>
        <w:t>学位点建设</w:t>
      </w:r>
      <w:r>
        <w:rPr>
          <w:rFonts w:hint="eastAsia" w:ascii="仿宋_GB2312" w:hAnsi="仿宋" w:eastAsia="仿宋_GB2312" w:cstheme="minorBidi"/>
          <w:sz w:val="32"/>
          <w:szCs w:val="32"/>
        </w:rPr>
        <w:t>责任单位统筹协调制定标准，并</w:t>
      </w:r>
      <w:r>
        <w:rPr>
          <w:rFonts w:hint="eastAsia" w:ascii="仿宋_GB2312" w:hAnsi="仿宋" w:eastAsia="仿宋_GB2312" w:cstheme="minorBidi"/>
          <w:sz w:val="32"/>
          <w:szCs w:val="32"/>
          <w:lang w:val="en-US" w:eastAsia="zh-CN"/>
        </w:rPr>
        <w:t>与</w:t>
      </w:r>
      <w:r>
        <w:rPr>
          <w:rFonts w:hint="eastAsia" w:ascii="仿宋_GB2312" w:hAnsi="仿宋" w:eastAsia="仿宋_GB2312" w:cstheme="minorBidi"/>
          <w:sz w:val="32"/>
          <w:szCs w:val="32"/>
        </w:rPr>
        <w:t>其他相关培养单位共同制定。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（一）培养目标</w:t>
      </w:r>
    </w:p>
    <w:p>
      <w:pPr>
        <w:spacing w:line="560" w:lineRule="exact"/>
        <w:ind w:firstLine="640" w:firstLineChars="200"/>
        <w:jc w:val="both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坚决拥护中国共产党的领导，掌握某一特定职业领域相关理论知识，具有较强解决实际问题的能力，能承担专业技术或管理工作，树立远大抱负，服务区域经济，具有正确的世界观、人生观、价值观及良好职业素养的高层次应用型专门人才。</w:t>
      </w:r>
    </w:p>
    <w:p>
      <w:pPr>
        <w:spacing w:line="5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各专业学位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类别</w:t>
      </w:r>
      <w:r>
        <w:rPr>
          <w:rFonts w:hint="eastAsia" w:ascii="仿宋_GB2312" w:hAnsi="仿宋" w:eastAsia="仿宋_GB2312"/>
          <w:sz w:val="32"/>
          <w:szCs w:val="32"/>
        </w:rPr>
        <w:t>应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根据教指委编制的《专业学位类别（领域）博士、硕士学位基本要求》和指导性培养方案，</w:t>
      </w:r>
      <w:r>
        <w:rPr>
          <w:rFonts w:hint="eastAsia" w:ascii="仿宋_GB2312" w:hAnsi="仿宋" w:eastAsia="仿宋_GB2312"/>
          <w:sz w:val="32"/>
          <w:szCs w:val="32"/>
        </w:rPr>
        <w:t>从职业发展和社会人才需求的角度对研究生在专业知识、科研能力与实践能力、职业操守、职业资格、执业道德等方面应该达到的水平或层次提出明确要求。培养目标要突出专业学位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硕士</w:t>
      </w:r>
      <w:r>
        <w:rPr>
          <w:rFonts w:hint="eastAsia" w:ascii="仿宋_GB2312" w:hAnsi="仿宋" w:eastAsia="仿宋_GB2312"/>
          <w:sz w:val="32"/>
          <w:szCs w:val="32"/>
        </w:rPr>
        <w:t>职业性、实践性特点及本专业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学位</w:t>
      </w:r>
      <w:r>
        <w:rPr>
          <w:rFonts w:hint="eastAsia" w:ascii="仿宋_GB2312" w:hAnsi="仿宋" w:eastAsia="仿宋_GB2312"/>
          <w:sz w:val="32"/>
          <w:szCs w:val="32"/>
        </w:rPr>
        <w:t>类别（领域）的培养特色。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）学制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与最长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学习年限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专业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学位</w:t>
      </w:r>
      <w:r>
        <w:rPr>
          <w:rFonts w:hint="eastAsia" w:ascii="仿宋_GB2312" w:hAnsi="仿宋" w:eastAsia="仿宋_GB2312"/>
          <w:sz w:val="32"/>
          <w:szCs w:val="32"/>
        </w:rPr>
        <w:t>硕士学制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-3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最长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学习年限为</w:t>
      </w:r>
      <w:r>
        <w:rPr>
          <w:rFonts w:hint="eastAsia" w:ascii="仿宋_GB2312" w:hAnsi="仿宋" w:eastAsia="仿宋_GB2312"/>
          <w:sz w:val="32"/>
          <w:szCs w:val="32"/>
        </w:rPr>
        <w:t>5年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专业学位类别</w:t>
      </w:r>
      <w:r>
        <w:rPr>
          <w:rFonts w:hint="eastAsia" w:ascii="仿宋_GB2312" w:hAnsi="仿宋" w:eastAsia="仿宋_GB2312"/>
          <w:sz w:val="32"/>
          <w:szCs w:val="32"/>
        </w:rPr>
        <w:t>可根据教指委指导性培养方案制定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基本</w:t>
      </w:r>
      <w:r>
        <w:rPr>
          <w:rFonts w:hint="eastAsia" w:ascii="仿宋_GB2312" w:hAnsi="仿宋" w:eastAsia="仿宋_GB2312"/>
          <w:sz w:val="32"/>
          <w:szCs w:val="32"/>
        </w:rPr>
        <w:t>学制。</w:t>
      </w:r>
    </w:p>
    <w:p>
      <w:pPr>
        <w:spacing w:line="560" w:lineRule="exact"/>
        <w:ind w:right="-57" w:rightChars="-27" w:firstLine="643" w:firstLineChars="200"/>
        <w:jc w:val="left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）培养方式</w:t>
      </w:r>
    </w:p>
    <w:p>
      <w:pPr>
        <w:spacing w:line="560" w:lineRule="exact"/>
        <w:ind w:right="-57" w:rightChars="-27"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专业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学位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硕士培养采用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全日制和非全日制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学习方式，</w:t>
      </w:r>
      <w:r>
        <w:rPr>
          <w:rFonts w:hint="eastAsia" w:ascii="仿宋_GB2312" w:hAnsi="仿宋" w:eastAsia="仿宋_GB2312"/>
          <w:sz w:val="32"/>
          <w:szCs w:val="32"/>
        </w:rPr>
        <w:t>实行学分制。课程学习应与专业实践相结合，主要在校内完成，专业实践主要在实践基地完成。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培养单位</w:t>
      </w:r>
      <w:r>
        <w:rPr>
          <w:rFonts w:hint="eastAsia" w:ascii="仿宋_GB2312" w:hAnsi="仿宋" w:eastAsia="仿宋_GB2312"/>
          <w:sz w:val="32"/>
          <w:szCs w:val="32"/>
        </w:rPr>
        <w:t>应构建“双导师”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指导制度</w:t>
      </w:r>
      <w:r>
        <w:rPr>
          <w:rFonts w:hint="eastAsia" w:ascii="仿宋_GB2312" w:hAnsi="仿宋" w:eastAsia="仿宋_GB2312"/>
          <w:sz w:val="32"/>
          <w:szCs w:val="32"/>
        </w:rPr>
        <w:t>，由校内导师和行（企）业专家共同承担学位论文指导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" w:eastAsia="仿宋_GB2312"/>
          <w:sz w:val="32"/>
          <w:szCs w:val="32"/>
        </w:rPr>
        <w:t>实践教学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utoSpaceDE w:val="0"/>
        <w:autoSpaceDN w:val="0"/>
        <w:spacing w:line="560" w:lineRule="exact"/>
        <w:ind w:firstLine="643" w:firstLineChars="200"/>
        <w:rPr>
          <w:rFonts w:hint="eastAsia"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（四）</w:t>
      </w:r>
      <w:r>
        <w:rPr>
          <w:rFonts w:hint="eastAsia" w:ascii="楷体" w:hAnsi="楷体" w:eastAsia="楷体" w:cs="楷体"/>
          <w:b/>
          <w:kern w:val="0"/>
          <w:sz w:val="32"/>
          <w:szCs w:val="32"/>
        </w:rPr>
        <w:t>课程设置及学分要求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各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专业学位类别（领域）</w:t>
      </w:r>
      <w:r>
        <w:rPr>
          <w:rFonts w:hint="eastAsia" w:ascii="仿宋_GB2312" w:hAnsi="仿宋" w:eastAsia="仿宋_GB2312"/>
          <w:kern w:val="0"/>
          <w:sz w:val="32"/>
          <w:szCs w:val="32"/>
        </w:rPr>
        <w:t>应根据教指委指导性培养方案，结合我校研究生培养特色，合理设置专业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学位</w:t>
      </w:r>
      <w:r>
        <w:rPr>
          <w:rFonts w:hint="eastAsia" w:ascii="仿宋_GB2312" w:hAnsi="仿宋" w:eastAsia="仿宋_GB2312"/>
          <w:kern w:val="0"/>
          <w:sz w:val="32"/>
          <w:szCs w:val="32"/>
        </w:rPr>
        <w:t>硕士课程，</w:t>
      </w:r>
      <w:r>
        <w:rPr>
          <w:rFonts w:hint="eastAsia" w:ascii="仿宋_GB2312" w:hAnsi="仿宋" w:eastAsia="仿宋_GB2312"/>
          <w:sz w:val="32"/>
          <w:szCs w:val="32"/>
        </w:rPr>
        <w:t>课程总学分和必修课学分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原则上应不低于教指委相关要求</w:t>
      </w:r>
      <w:r>
        <w:rPr>
          <w:rFonts w:hint="eastAsia" w:ascii="仿宋_GB2312" w:hAnsi="仿宋" w:eastAsia="仿宋_GB2312"/>
          <w:sz w:val="32"/>
          <w:szCs w:val="32"/>
        </w:rPr>
        <w:t>。具体</w:t>
      </w:r>
      <w:r>
        <w:rPr>
          <w:rFonts w:hint="eastAsia" w:ascii="仿宋_GB2312" w:hAnsi="仿宋" w:eastAsia="仿宋_GB2312"/>
          <w:kern w:val="0"/>
          <w:sz w:val="32"/>
          <w:szCs w:val="32"/>
        </w:rPr>
        <w:t>要求如下：</w:t>
      </w:r>
    </w:p>
    <w:p>
      <w:pPr>
        <w:autoSpaceDE w:val="0"/>
        <w:autoSpaceDN w:val="0"/>
        <w:spacing w:line="560" w:lineRule="exact"/>
        <w:ind w:firstLine="643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1.课程学分计算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研究生课程一般以16学时计1学分。</w:t>
      </w:r>
    </w:p>
    <w:p>
      <w:pPr>
        <w:autoSpaceDE w:val="0"/>
        <w:autoSpaceDN w:val="0"/>
        <w:spacing w:line="560" w:lineRule="exact"/>
        <w:ind w:firstLine="643" w:firstLineChars="200"/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2.课程学习时长要求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专业硕士课程学习一般安排在1-1.5学年内完成。课程达到免修条件的，可按程序申请免修。</w:t>
      </w:r>
    </w:p>
    <w:p>
      <w:pPr>
        <w:autoSpaceDE w:val="0"/>
        <w:autoSpaceDN w:val="0"/>
        <w:spacing w:line="560" w:lineRule="exact"/>
        <w:ind w:firstLine="643" w:firstLineChars="200"/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3.课程设置要求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专业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学位</w:t>
      </w:r>
      <w:r>
        <w:rPr>
          <w:rFonts w:hint="eastAsia" w:ascii="仿宋_GB2312" w:hAnsi="仿宋" w:eastAsia="仿宋_GB2312"/>
          <w:kern w:val="0"/>
          <w:sz w:val="32"/>
          <w:szCs w:val="32"/>
        </w:rPr>
        <w:t>硕士的课程设置应以实际应用为导向，以职业需求为目标，突出对学生专业技术能力的培养，体现宽口径、厚基础、重应用的培养要求。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其中，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实务实践性课程原则上不低于50%。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专业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学位</w:t>
      </w:r>
      <w:r>
        <w:rPr>
          <w:rFonts w:hint="eastAsia" w:ascii="仿宋_GB2312" w:hAnsi="仿宋" w:eastAsia="仿宋_GB2312"/>
          <w:kern w:val="0"/>
          <w:sz w:val="32"/>
          <w:szCs w:val="32"/>
        </w:rPr>
        <w:t>硕士</w:t>
      </w:r>
      <w:r>
        <w:rPr>
          <w:rFonts w:hint="eastAsia" w:ascii="仿宋_GB2312" w:hAnsi="仿宋" w:eastAsia="仿宋_GB2312"/>
          <w:sz w:val="32"/>
          <w:szCs w:val="32"/>
        </w:rPr>
        <w:t>课程分为必修课和选修课。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必修课包括公共必修课和专业必修课。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选修课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包括公共选修课和专业选修课。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公共必修课一般包括政治、外语、科研伦理与学术规范；专业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必修课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和专业选修课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应根据《专业学位研究生核心课程指南》和教指委指导性培养方案的最新要求设置；专业选修课可结合培养单位的培养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特色适当调整。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 w:cstheme="minorBidi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 w:cstheme="minorBidi"/>
          <w:b/>
          <w:bCs/>
          <w:sz w:val="32"/>
          <w:szCs w:val="32"/>
        </w:rPr>
        <w:t>课程教学要求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theme="minorBidi"/>
          <w:sz w:val="32"/>
          <w:szCs w:val="32"/>
        </w:rPr>
      </w:pPr>
      <w:r>
        <w:rPr>
          <w:rFonts w:hint="eastAsia" w:ascii="仿宋_GB2312" w:hAnsi="仿宋" w:eastAsia="仿宋_GB2312" w:cstheme="minorBidi"/>
          <w:sz w:val="32"/>
          <w:szCs w:val="32"/>
          <w:lang w:val="en-US" w:eastAsia="zh-CN"/>
        </w:rPr>
        <w:t>专业学位硕士</w:t>
      </w:r>
      <w:r>
        <w:rPr>
          <w:rFonts w:hint="eastAsia" w:ascii="仿宋_GB2312" w:hAnsi="仿宋" w:eastAsia="仿宋_GB2312" w:cstheme="minorBidi"/>
          <w:sz w:val="32"/>
          <w:szCs w:val="32"/>
        </w:rPr>
        <w:t>课程教学内容应与课程思政有机融合，并密切结合经济社会发展需求和行业（企业）实际应用，体现前沿性和实用性。及时将本专业类别（领域）前沿发展动态，引入课题教学。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theme="minorBidi"/>
          <w:sz w:val="32"/>
          <w:szCs w:val="32"/>
        </w:rPr>
      </w:pPr>
      <w:r>
        <w:rPr>
          <w:rFonts w:hint="eastAsia" w:ascii="仿宋_GB2312" w:hAnsi="仿宋" w:eastAsia="仿宋_GB2312" w:cstheme="minorBidi"/>
          <w:sz w:val="32"/>
          <w:szCs w:val="32"/>
        </w:rPr>
        <w:t>专业学位</w:t>
      </w:r>
      <w:r>
        <w:rPr>
          <w:rFonts w:hint="eastAsia" w:ascii="仿宋_GB2312" w:hAnsi="仿宋" w:eastAsia="仿宋_GB2312" w:cstheme="minorBidi"/>
          <w:sz w:val="32"/>
          <w:szCs w:val="32"/>
          <w:lang w:val="en-US" w:eastAsia="zh-CN"/>
        </w:rPr>
        <w:t>硕士</w:t>
      </w:r>
      <w:r>
        <w:rPr>
          <w:rFonts w:hint="eastAsia" w:ascii="仿宋_GB2312" w:hAnsi="仿宋" w:eastAsia="仿宋_GB2312" w:cstheme="minorBidi"/>
          <w:sz w:val="32"/>
          <w:szCs w:val="32"/>
        </w:rPr>
        <w:t>课程教学中要注重案例教学的使用与开发建设，应对案例教学在课程资源建设与教学方式上的应用提出明确的要求，加强案例库的建设和应用，并写入</w:t>
      </w:r>
      <w:r>
        <w:rPr>
          <w:rFonts w:hint="eastAsia" w:ascii="仿宋_GB2312" w:hAnsi="仿宋" w:eastAsia="仿宋_GB2312" w:cstheme="minorBidi"/>
          <w:sz w:val="32"/>
          <w:szCs w:val="32"/>
          <w:lang w:val="en-US" w:eastAsia="zh-CN"/>
        </w:rPr>
        <w:t>相应课程教学大纲中。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theme="minorBidi"/>
          <w:sz w:val="32"/>
          <w:szCs w:val="32"/>
        </w:rPr>
      </w:pPr>
      <w:r>
        <w:rPr>
          <w:rFonts w:hint="eastAsia" w:ascii="仿宋_GB2312" w:hAnsi="仿宋" w:eastAsia="仿宋_GB2312" w:cstheme="minorBidi"/>
          <w:sz w:val="32"/>
          <w:szCs w:val="32"/>
        </w:rPr>
        <w:t>各</w:t>
      </w:r>
      <w:r>
        <w:rPr>
          <w:rFonts w:hint="eastAsia" w:ascii="仿宋_GB2312" w:hAnsi="仿宋" w:eastAsia="仿宋_GB2312" w:cstheme="minorBidi"/>
          <w:sz w:val="32"/>
          <w:szCs w:val="32"/>
          <w:lang w:val="en-US" w:eastAsia="zh-CN"/>
        </w:rPr>
        <w:t>专业学位类别应</w:t>
      </w:r>
      <w:r>
        <w:rPr>
          <w:rFonts w:hint="eastAsia" w:ascii="仿宋_GB2312" w:hAnsi="仿宋" w:eastAsia="仿宋_GB2312" w:cstheme="minorBidi"/>
          <w:sz w:val="32"/>
          <w:szCs w:val="32"/>
        </w:rPr>
        <w:t>聘请有丰富经验的行业（企业）专家担任校外导师，有计划选派校内教师赴行业（企业）开展调研实践，组建校内外专业化的教学团队，共同开设实践课程</w:t>
      </w:r>
      <w:r>
        <w:rPr>
          <w:rFonts w:hint="eastAsia" w:ascii="仿宋_GB2312" w:hAnsi="仿宋" w:eastAsia="仿宋_GB2312" w:cstheme="minorBidi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theme="minorBidi"/>
          <w:sz w:val="32"/>
          <w:szCs w:val="32"/>
        </w:rPr>
        <w:t>编写相关课程教材</w:t>
      </w:r>
      <w:r>
        <w:rPr>
          <w:rFonts w:hint="eastAsia" w:ascii="仿宋_GB2312" w:hAnsi="仿宋" w:eastAsia="仿宋_GB2312" w:cstheme="minorBidi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theme="minorBidi"/>
          <w:sz w:val="32"/>
          <w:szCs w:val="32"/>
        </w:rPr>
        <w:t>原则上有一定数量的课程由校内外导师共同完成。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theme="minorBidi"/>
          <w:sz w:val="32"/>
          <w:szCs w:val="32"/>
        </w:rPr>
        <w:t>培养方案中设置的课程，应编写课程教学大纲。课程所用使用的教材或教学大纲中所列明的参考书目，应符合上级和学校关于教材、参考书目、参考资料等的使用规定。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b/>
          <w:sz w:val="32"/>
          <w:szCs w:val="32"/>
        </w:rPr>
        <w:t>.其他要求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（1）根据《教育部办公厅关于进一步规范和加强研究生培养管理的通知》（教研厅〔2019〕1号），各单位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培养</w:t>
      </w:r>
      <w:r>
        <w:rPr>
          <w:rFonts w:hint="eastAsia" w:ascii="仿宋_GB2312" w:hAnsi="仿宋" w:eastAsia="仿宋_GB2312"/>
          <w:sz w:val="32"/>
          <w:szCs w:val="32"/>
        </w:rPr>
        <w:t>应加强学术规范和学术道德教育，把论文写作指导课程作为必修必选课纳入培养方案。</w:t>
      </w:r>
    </w:p>
    <w:p>
      <w:pPr>
        <w:spacing w:line="560" w:lineRule="exact"/>
        <w:ind w:firstLine="640" w:firstLineChars="200"/>
        <w:rPr>
          <w:rFonts w:hint="eastAsia" w:ascii="仿宋_GB2312" w:hAnsi="等线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sz w:val="32"/>
          <w:szCs w:val="32"/>
        </w:rPr>
        <w:t>（2）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跨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学科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考入的</w:t>
      </w:r>
      <w:r>
        <w:rPr>
          <w:rFonts w:hint="eastAsia" w:ascii="仿宋_GB2312" w:hAnsi="仿宋" w:eastAsia="仿宋_GB2312"/>
          <w:sz w:val="32"/>
          <w:szCs w:val="32"/>
        </w:rPr>
        <w:t>专业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学位</w:t>
      </w:r>
      <w:r>
        <w:rPr>
          <w:rFonts w:hint="eastAsia" w:ascii="仿宋_GB2312" w:hAnsi="仿宋" w:eastAsia="仿宋_GB2312"/>
          <w:sz w:val="32"/>
          <w:szCs w:val="32"/>
        </w:rPr>
        <w:t>硕士补修课程要求及学分要求由各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专业学位点自定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等线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补修课程录入研究生成绩单，但不纳入研究生毕业总学分计算。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等线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/>
          <w:b w:val="0"/>
          <w:bCs w:val="0"/>
          <w:color w:val="auto"/>
          <w:sz w:val="32"/>
          <w:szCs w:val="32"/>
          <w:lang w:val="en-US" w:eastAsia="zh-CN"/>
        </w:rPr>
        <w:t>（3）对于材料与化工、生物与医药等高风险的专业学位类别，应开设实验室安全教育专业必修课，鼓励其他有关专业开设专业选修课，课时和学分由学科自定。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等线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/>
          <w:b w:val="0"/>
          <w:bCs w:val="0"/>
          <w:color w:val="auto"/>
          <w:sz w:val="32"/>
          <w:szCs w:val="32"/>
          <w:lang w:val="en-US" w:eastAsia="zh-CN"/>
        </w:rPr>
        <w:t>（4）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“本硕一体化卓越教师培养计划”和“复合型硕士层次高中教师培养计划”教育硕士相关领域的培养方案应单独制定，对课程要求和培养环节作出明确规定，体现贯通式培养的目标和要求。</w:t>
      </w:r>
    </w:p>
    <w:p>
      <w:pPr>
        <w:autoSpaceDE w:val="0"/>
        <w:autoSpaceDN w:val="0"/>
        <w:spacing w:line="560" w:lineRule="exact"/>
        <w:ind w:firstLine="643" w:firstLineChars="200"/>
        <w:rPr>
          <w:rFonts w:hint="eastAsia"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>（五）</w:t>
      </w:r>
      <w:r>
        <w:rPr>
          <w:rFonts w:hint="eastAsia" w:ascii="楷体" w:hAnsi="楷体" w:eastAsia="楷体" w:cs="楷体"/>
          <w:b/>
          <w:kern w:val="0"/>
          <w:sz w:val="32"/>
          <w:szCs w:val="32"/>
          <w:lang w:val="en-US" w:eastAsia="zh-CN"/>
        </w:rPr>
        <w:t>其他</w:t>
      </w:r>
      <w:r>
        <w:rPr>
          <w:rFonts w:hint="eastAsia" w:ascii="楷体" w:hAnsi="楷体" w:eastAsia="楷体" w:cs="楷体"/>
          <w:b/>
          <w:kern w:val="0"/>
          <w:sz w:val="32"/>
          <w:szCs w:val="32"/>
        </w:rPr>
        <w:t>培养环节及要求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专业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学位</w:t>
      </w:r>
      <w:r>
        <w:rPr>
          <w:rFonts w:hint="eastAsia" w:ascii="仿宋_GB2312" w:hAnsi="仿宋" w:eastAsia="仿宋_GB2312"/>
          <w:kern w:val="0"/>
          <w:sz w:val="32"/>
          <w:szCs w:val="32"/>
        </w:rPr>
        <w:t>硕士的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其他</w:t>
      </w:r>
      <w:r>
        <w:rPr>
          <w:rFonts w:hint="eastAsia" w:ascii="仿宋_GB2312" w:hAnsi="仿宋" w:eastAsia="仿宋_GB2312"/>
          <w:kern w:val="0"/>
          <w:sz w:val="32"/>
          <w:szCs w:val="32"/>
        </w:rPr>
        <w:t>培养环节包括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学术规范教育、</w:t>
      </w:r>
      <w:r>
        <w:rPr>
          <w:rFonts w:hint="eastAsia" w:ascii="仿宋_GB2312" w:hAnsi="仿宋" w:eastAsia="仿宋_GB2312"/>
          <w:kern w:val="0"/>
          <w:sz w:val="32"/>
          <w:szCs w:val="32"/>
        </w:rPr>
        <w:t>开题报告、中期考核、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行业</w:t>
      </w:r>
      <w:r>
        <w:rPr>
          <w:rFonts w:hint="eastAsia" w:ascii="仿宋_GB2312" w:hAnsi="仿宋" w:eastAsia="仿宋_GB2312"/>
          <w:kern w:val="0"/>
          <w:sz w:val="32"/>
          <w:szCs w:val="32"/>
        </w:rPr>
        <w:t>讲座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" w:eastAsia="仿宋_GB2312"/>
          <w:kern w:val="0"/>
          <w:sz w:val="32"/>
          <w:szCs w:val="32"/>
        </w:rPr>
        <w:t>专业实践等。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9" w:firstLineChars="177"/>
        <w:textAlignment w:val="auto"/>
        <w:rPr>
          <w:rFonts w:hint="eastAsia" w:ascii="仿宋_GB2312" w:hAnsi="等线" w:eastAsia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等线" w:eastAsia="仿宋_GB2312"/>
          <w:b/>
          <w:bCs/>
          <w:sz w:val="32"/>
          <w:szCs w:val="32"/>
          <w:highlight w:val="none"/>
          <w:lang w:val="en-US" w:eastAsia="zh-CN"/>
        </w:rPr>
        <w:t>1.学术规范教育（必修 不计学分）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6" w:firstLineChars="177"/>
        <w:textAlignment w:val="auto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除学校开设公共必修课《科研伦理与学术规范》（1学分）外，培养单位应</w:t>
      </w:r>
      <w:r>
        <w:rPr>
          <w:rFonts w:hint="eastAsia" w:ascii="仿宋_GB2312" w:hAnsi="等线" w:eastAsia="仿宋_GB2312"/>
          <w:sz w:val="32"/>
          <w:szCs w:val="32"/>
        </w:rPr>
        <w:t>坚持以多种形式、多种渠道、多方参与、贴近学生、注重效果的原则，将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学术规范</w:t>
      </w:r>
      <w:r>
        <w:rPr>
          <w:rFonts w:hint="eastAsia" w:ascii="仿宋_GB2312" w:hAnsi="等线" w:eastAsia="仿宋_GB2312"/>
          <w:sz w:val="32"/>
          <w:szCs w:val="32"/>
        </w:rPr>
        <w:t>教育工作贯穿于研究生培养全过程</w:t>
      </w:r>
      <w:r>
        <w:rPr>
          <w:rFonts w:hint="eastAsia" w:ascii="仿宋_GB2312" w:hAnsi="等线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具体教育</w:t>
      </w:r>
      <w:r>
        <w:rPr>
          <w:rFonts w:hint="eastAsia" w:ascii="仿宋_GB2312" w:hAnsi="等线" w:eastAsia="仿宋_GB2312"/>
          <w:sz w:val="32"/>
          <w:szCs w:val="32"/>
        </w:rPr>
        <w:t>形式、时间和考核要求</w:t>
      </w:r>
      <w:r>
        <w:rPr>
          <w:rFonts w:hint="eastAsia" w:ascii="仿宋_GB2312" w:hAnsi="等线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由培养单位自定</w:t>
      </w:r>
      <w:r>
        <w:rPr>
          <w:rFonts w:hint="eastAsia" w:ascii="仿宋_GB2312" w:hAnsi="等线" w:eastAsia="仿宋_GB2312"/>
          <w:sz w:val="32"/>
          <w:szCs w:val="32"/>
        </w:rPr>
        <w:t>。本环节作为研究生必修环节，但不计学分。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0"/>
        <w:textAlignment w:val="auto"/>
        <w:rPr>
          <w:rFonts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等线" w:eastAsia="仿宋_GB2312"/>
          <w:b/>
          <w:sz w:val="32"/>
          <w:szCs w:val="32"/>
        </w:rPr>
        <w:t>.开题报告（必修 不计学分）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</w:rPr>
        <w:t>开题报告指研究生以书面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等线" w:eastAsia="仿宋_GB2312"/>
          <w:sz w:val="32"/>
          <w:szCs w:val="32"/>
        </w:rPr>
        <w:t>口头报告的方式汇报当前所选课题概况，以判断该选题是否可以继续开展的阶段性考核环节。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按照《福建师范大学研究生学位论文开题报告管理办法》执行。</w:t>
      </w:r>
      <w:r>
        <w:rPr>
          <w:rFonts w:hint="eastAsia" w:ascii="仿宋_GB2312" w:hAnsi="等线" w:eastAsia="仿宋_GB2312"/>
          <w:sz w:val="32"/>
          <w:szCs w:val="32"/>
        </w:rPr>
        <w:t>本环节作为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专业学位硕士</w:t>
      </w:r>
      <w:r>
        <w:rPr>
          <w:rFonts w:hint="eastAsia" w:ascii="仿宋_GB2312" w:hAnsi="等线" w:eastAsia="仿宋_GB2312"/>
          <w:sz w:val="32"/>
          <w:szCs w:val="32"/>
        </w:rPr>
        <w:t>必修环节，但不计学分。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hAnsi="等线" w:eastAsia="仿宋_GB2312"/>
          <w:b/>
          <w:sz w:val="32"/>
          <w:szCs w:val="32"/>
        </w:rPr>
        <w:t>.中期考核（</w:t>
      </w:r>
      <w:r>
        <w:rPr>
          <w:rFonts w:hint="eastAsia" w:ascii="仿宋_GB2312" w:hAnsi="等线" w:eastAsia="仿宋_GB2312"/>
          <w:b/>
          <w:sz w:val="32"/>
          <w:szCs w:val="32"/>
          <w:lang w:val="en-US" w:eastAsia="zh-CN"/>
        </w:rPr>
        <w:t>必修 不计</w:t>
      </w:r>
      <w:r>
        <w:rPr>
          <w:rFonts w:hint="eastAsia" w:ascii="仿宋_GB2312" w:hAnsi="等线" w:eastAsia="仿宋_GB2312"/>
          <w:b/>
          <w:sz w:val="32"/>
          <w:szCs w:val="32"/>
        </w:rPr>
        <w:t>学分）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等线" w:eastAsia="仿宋_GB2312"/>
          <w:b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</w:rPr>
        <w:t>中期考核是指以书面和口头报告的方式，综合考察研究生入学以来思想品德、学业水平、科研能力、实践能力和身心健康等方面情况，以判断其是否适宜继续攻读的阶段性考核环节。各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培养单位</w:t>
      </w:r>
      <w:r>
        <w:rPr>
          <w:rFonts w:hint="eastAsia" w:ascii="仿宋_GB2312" w:hAnsi="等线" w:eastAsia="仿宋_GB2312"/>
          <w:sz w:val="32"/>
          <w:szCs w:val="32"/>
        </w:rPr>
        <w:t>应按照《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福建师范大学</w:t>
      </w:r>
      <w:r>
        <w:rPr>
          <w:rFonts w:hint="eastAsia" w:ascii="仿宋_GB2312" w:hAnsi="等线" w:eastAsia="仿宋_GB2312"/>
          <w:sz w:val="32"/>
          <w:szCs w:val="32"/>
        </w:rPr>
        <w:t>研究生中期考核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暂行</w:t>
      </w:r>
      <w:r>
        <w:rPr>
          <w:rFonts w:hint="eastAsia" w:ascii="仿宋_GB2312" w:hAnsi="等线" w:eastAsia="仿宋_GB2312"/>
          <w:sz w:val="32"/>
          <w:szCs w:val="32"/>
        </w:rPr>
        <w:t>办法》制定实施细则，组织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研究生</w:t>
      </w:r>
      <w:r>
        <w:rPr>
          <w:rFonts w:hint="eastAsia" w:ascii="仿宋_GB2312" w:hAnsi="等线" w:eastAsia="仿宋_GB2312"/>
          <w:sz w:val="32"/>
          <w:szCs w:val="32"/>
        </w:rPr>
        <w:t>进行中期考核</w:t>
      </w:r>
      <w:r>
        <w:rPr>
          <w:rFonts w:hint="eastAsia" w:ascii="仿宋_GB2312" w:hAnsi="等线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本环节作为专业学位硕士</w:t>
      </w:r>
      <w:r>
        <w:rPr>
          <w:rFonts w:hint="eastAsia" w:ascii="仿宋_GB2312" w:hAnsi="等线" w:eastAsia="仿宋_GB2312"/>
          <w:sz w:val="32"/>
          <w:szCs w:val="32"/>
        </w:rPr>
        <w:t>必修环节，但不计学分。</w:t>
      </w:r>
    </w:p>
    <w:p>
      <w:pPr>
        <w:autoSpaceDE w:val="0"/>
        <w:autoSpaceDN w:val="0"/>
        <w:spacing w:line="560" w:lineRule="exact"/>
        <w:ind w:firstLine="643" w:firstLineChars="200"/>
        <w:rPr>
          <w:rFonts w:hint="eastAsia" w:ascii="仿宋_GB2312" w:hAnsi="仿宋" w:eastAsia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.行业前沿讲座</w:t>
      </w:r>
      <w:r>
        <w:rPr>
          <w:rFonts w:hint="eastAsia" w:ascii="仿宋_GB2312" w:hAnsi="仿宋" w:eastAsia="仿宋_GB2312"/>
          <w:b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b/>
          <w:kern w:val="0"/>
          <w:sz w:val="32"/>
          <w:szCs w:val="32"/>
          <w:lang w:val="en-US" w:eastAsia="zh-CN"/>
        </w:rPr>
        <w:t>必修 2学分</w:t>
      </w:r>
      <w:r>
        <w:rPr>
          <w:rFonts w:hint="eastAsia" w:ascii="仿宋_GB2312" w:hAnsi="仿宋" w:eastAsia="仿宋_GB2312"/>
          <w:b/>
          <w:kern w:val="0"/>
          <w:sz w:val="32"/>
          <w:szCs w:val="32"/>
          <w:lang w:eastAsia="zh-CN"/>
        </w:rPr>
        <w:t>）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default" w:ascii="仿宋_GB2312" w:hAnsi="仿宋" w:eastAsia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各</w:t>
      </w:r>
      <w:r>
        <w:rPr>
          <w:rFonts w:hint="eastAsia" w:ascii="仿宋_GB2312" w:hAnsi="仿宋" w:eastAsia="仿宋_GB2312"/>
          <w:kern w:val="0"/>
          <w:sz w:val="32"/>
          <w:szCs w:val="32"/>
        </w:rPr>
        <w:t>培养单位应邀请企（行）业具有丰富实践经验的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同行</w:t>
      </w:r>
      <w:r>
        <w:rPr>
          <w:rFonts w:hint="eastAsia" w:ascii="仿宋_GB2312" w:hAnsi="仿宋" w:eastAsia="仿宋_GB2312"/>
          <w:kern w:val="0"/>
          <w:sz w:val="32"/>
          <w:szCs w:val="32"/>
        </w:rPr>
        <w:t>专家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kern w:val="0"/>
          <w:sz w:val="32"/>
          <w:szCs w:val="32"/>
        </w:rPr>
        <w:t>开设企（行）业发展前沿讲座。</w:t>
      </w:r>
      <w:bookmarkStart w:id="0" w:name="_GoBack"/>
      <w:r>
        <w:rPr>
          <w:rFonts w:hint="eastAsia" w:ascii="仿宋_GB2312" w:hAnsi="仿宋" w:eastAsia="仿宋_GB2312"/>
          <w:kern w:val="0"/>
          <w:sz w:val="32"/>
          <w:szCs w:val="32"/>
        </w:rPr>
        <w:t>专业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学位</w:t>
      </w:r>
      <w:r>
        <w:rPr>
          <w:rFonts w:hint="eastAsia" w:ascii="仿宋_GB2312" w:hAnsi="仿宋" w:eastAsia="仿宋_GB2312"/>
          <w:kern w:val="0"/>
          <w:sz w:val="32"/>
          <w:szCs w:val="32"/>
        </w:rPr>
        <w:t>硕士在学期间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至少</w:t>
      </w:r>
      <w:r>
        <w:rPr>
          <w:rFonts w:hint="eastAsia" w:ascii="仿宋_GB2312" w:hAnsi="仿宋" w:eastAsia="仿宋_GB2312"/>
          <w:kern w:val="0"/>
          <w:sz w:val="32"/>
          <w:szCs w:val="32"/>
        </w:rPr>
        <w:t>参加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kern w:val="0"/>
          <w:sz w:val="32"/>
          <w:szCs w:val="32"/>
        </w:rPr>
        <w:t>场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行业</w:t>
      </w:r>
      <w:r>
        <w:rPr>
          <w:rFonts w:hint="eastAsia" w:ascii="仿宋_GB2312" w:hAnsi="仿宋" w:eastAsia="仿宋_GB2312"/>
          <w:kern w:val="0"/>
          <w:sz w:val="32"/>
          <w:szCs w:val="32"/>
        </w:rPr>
        <w:t>前沿讲座，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鼓励培养单位提出更高要求</w:t>
      </w:r>
      <w:bookmarkEnd w:id="0"/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。本环节作为专业学位硕士必修环节，计2学分。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.专业实践（必修，至少2学分）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专业实践是指研究生采用集中实践与分段实践相结合的方式，到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各级联合培养实践基地和</w:t>
      </w:r>
      <w:r>
        <w:rPr>
          <w:rFonts w:hint="eastAsia" w:ascii="仿宋_GB2312" w:hAnsi="仿宋" w:eastAsia="仿宋_GB2312"/>
          <w:sz w:val="32"/>
          <w:szCs w:val="32"/>
        </w:rPr>
        <w:t>企（行）业部门开展的实践活动，是专业硕士培养中的重要环节。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按照</w:t>
      </w:r>
      <w:r>
        <w:rPr>
          <w:rFonts w:hint="eastAsia" w:ascii="仿宋_GB2312" w:hAnsi="仿宋" w:eastAsia="仿宋_GB2312"/>
          <w:sz w:val="32"/>
          <w:szCs w:val="32"/>
        </w:rPr>
        <w:t>《福建师范大学硕士专业学位研究生专业实践管理办法（试行）》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和教指委指导性培养方案有关要求，各专业学位类别应制定专业实践管理和考核实施细则，设计完善《专业学位研究生专业实践活动手册》，</w:t>
      </w:r>
      <w:r>
        <w:rPr>
          <w:rFonts w:hint="eastAsia" w:ascii="仿宋_GB2312" w:hAnsi="仿宋" w:eastAsia="仿宋_GB2312"/>
          <w:sz w:val="32"/>
          <w:szCs w:val="32"/>
        </w:rPr>
        <w:t>设置至少2学分的专业实践学分。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theme="minorBidi"/>
          <w:sz w:val="32"/>
          <w:szCs w:val="32"/>
        </w:rPr>
        <w:t>大力开展产教融合研究生联合</w:t>
      </w:r>
      <w:r>
        <w:rPr>
          <w:rFonts w:hint="eastAsia" w:ascii="仿宋_GB2312" w:hAnsi="仿宋" w:eastAsia="仿宋_GB2312" w:cstheme="minorBidi"/>
          <w:sz w:val="32"/>
          <w:szCs w:val="32"/>
          <w:lang w:val="en-US" w:eastAsia="zh-CN"/>
        </w:rPr>
        <w:t>培</w:t>
      </w:r>
      <w:r>
        <w:rPr>
          <w:rFonts w:hint="eastAsia" w:ascii="仿宋_GB2312" w:hAnsi="仿宋" w:eastAsia="仿宋_GB2312" w:cstheme="minorBidi"/>
          <w:sz w:val="32"/>
          <w:szCs w:val="32"/>
        </w:rPr>
        <w:t>养基地建设，专业实践须在联合培养基地进行。依托区域优势，与国内外有影响力的行业（企业）建立研究生联合培养基地。各</w:t>
      </w:r>
      <w:r>
        <w:rPr>
          <w:rFonts w:hint="eastAsia" w:ascii="仿宋_GB2312" w:hAnsi="仿宋" w:eastAsia="仿宋_GB2312" w:cstheme="minorBidi"/>
          <w:sz w:val="32"/>
          <w:szCs w:val="32"/>
          <w:lang w:val="en-US" w:eastAsia="zh-CN"/>
        </w:rPr>
        <w:t>专业学位类别原则上</w:t>
      </w:r>
      <w:r>
        <w:rPr>
          <w:rFonts w:hint="eastAsia" w:ascii="仿宋_GB2312" w:hAnsi="仿宋" w:eastAsia="仿宋_GB2312" w:cstheme="minorBidi"/>
          <w:sz w:val="32"/>
          <w:szCs w:val="32"/>
        </w:rPr>
        <w:t>每年至少</w:t>
      </w:r>
      <w:r>
        <w:rPr>
          <w:rFonts w:hint="eastAsia" w:ascii="仿宋_GB2312" w:hAnsi="仿宋" w:eastAsia="仿宋_GB2312" w:cstheme="minorBidi"/>
          <w:sz w:val="32"/>
          <w:szCs w:val="32"/>
          <w:lang w:val="en-US" w:eastAsia="zh-CN"/>
        </w:rPr>
        <w:t>新增</w:t>
      </w:r>
      <w:r>
        <w:rPr>
          <w:rFonts w:hint="eastAsia" w:ascii="仿宋_GB2312" w:hAnsi="仿宋" w:eastAsia="仿宋_GB2312" w:cstheme="minorBidi"/>
          <w:sz w:val="32"/>
          <w:szCs w:val="32"/>
        </w:rPr>
        <w:t>建</w:t>
      </w:r>
      <w:r>
        <w:rPr>
          <w:rFonts w:hint="eastAsia" w:ascii="仿宋_GB2312" w:hAnsi="仿宋" w:eastAsia="仿宋_GB2312" w:cstheme="minorBidi"/>
          <w:sz w:val="32"/>
          <w:szCs w:val="32"/>
          <w:lang w:val="en-US" w:eastAsia="zh-CN"/>
        </w:rPr>
        <w:t>成1</w:t>
      </w:r>
      <w:r>
        <w:rPr>
          <w:rFonts w:hint="eastAsia" w:ascii="仿宋_GB2312" w:hAnsi="仿宋" w:eastAsia="仿宋_GB2312" w:cstheme="minorBidi"/>
          <w:sz w:val="32"/>
          <w:szCs w:val="32"/>
        </w:rPr>
        <w:t>个具有影响力的校级联合培养基地，建立能满足专业学位实践的若干院级联合培养基地。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kern w:val="0"/>
          <w:sz w:val="32"/>
          <w:szCs w:val="32"/>
          <w:highlight w:val="none"/>
        </w:rPr>
        <w:t>专业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lang w:val="en-US" w:eastAsia="zh-CN"/>
        </w:rPr>
        <w:t>学位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</w:rPr>
        <w:t>硕士参加创新创业实践并取得成果或获得与学业相关的专利授权的，经学院考核认定后，可折算为专业实践学分。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6" w:firstLineChars="177"/>
        <w:jc w:val="both"/>
        <w:textAlignment w:val="auto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</w:rPr>
        <w:t>除以上环节外，为了促进研究生德智体美劳全面发展，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培养单位</w:t>
      </w:r>
      <w:r>
        <w:rPr>
          <w:rFonts w:hint="eastAsia" w:ascii="仿宋_GB2312" w:hAnsi="等线" w:eastAsia="仿宋_GB2312"/>
          <w:sz w:val="32"/>
          <w:szCs w:val="32"/>
        </w:rPr>
        <w:t>可结合学科特点，将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助教、</w:t>
      </w:r>
      <w:r>
        <w:rPr>
          <w:rFonts w:hint="eastAsia" w:ascii="仿宋_GB2312" w:hAnsi="等线" w:eastAsia="仿宋_GB2312"/>
          <w:sz w:val="32"/>
          <w:szCs w:val="32"/>
        </w:rPr>
        <w:t>助研、助管和劳动教育等环节纳入研究生培养环节。</w:t>
      </w:r>
    </w:p>
    <w:p>
      <w:pPr>
        <w:autoSpaceDE w:val="0"/>
        <w:autoSpaceDN w:val="0"/>
        <w:spacing w:line="560" w:lineRule="exact"/>
        <w:ind w:firstLine="643" w:firstLineChars="200"/>
        <w:rPr>
          <w:rFonts w:hint="eastAsia"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>（六）学位论文</w:t>
      </w:r>
    </w:p>
    <w:p>
      <w:pPr>
        <w:adjustRightInd w:val="0"/>
        <w:snapToGrid w:val="0"/>
        <w:spacing w:line="560" w:lineRule="exact"/>
        <w:ind w:firstLine="641"/>
        <w:rPr>
          <w:rFonts w:hint="eastAsia" w:ascii="仿宋_GB2312" w:hAnsi="等线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专业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学位</w:t>
      </w:r>
      <w:r>
        <w:rPr>
          <w:rFonts w:hint="eastAsia" w:ascii="仿宋_GB2312" w:hAnsi="仿宋" w:eastAsia="仿宋_GB2312"/>
          <w:kern w:val="0"/>
          <w:sz w:val="32"/>
          <w:szCs w:val="32"/>
        </w:rPr>
        <w:t>硕士的论文工作时长一般不少于1年。学位论文的选题应来源于应用课题或现实问题，应有明确的职业背景和应用价值，一般应与专业实践相结合。学位论文可以调研报告、应用研究、规划设计、产品研发、案例分析、项目管理及艺术作品等为主要内容，以论文形式呈现。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学位论文形式和字数要求</w:t>
      </w:r>
      <w:r>
        <w:rPr>
          <w:rFonts w:hint="eastAsia" w:ascii="仿宋_GB2312" w:hAnsi="仿宋" w:eastAsia="仿宋_GB2312"/>
          <w:kern w:val="0"/>
          <w:sz w:val="32"/>
          <w:szCs w:val="32"/>
        </w:rPr>
        <w:t>具体根据教指委指导性培养方案确定。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研究生学位论文开题报告、预答辩、送审和答辩等要求应按学校有关文件执行。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7" w:leftChars="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七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sz w:val="32"/>
          <w:szCs w:val="32"/>
        </w:rPr>
        <w:t>毕业与学位授予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专业学位硕士在学校规定年限内，按照培养方案的规定，完成课程学习，成绩合格，修满规定学分，完成毕业（学位）论文撰写并通过毕业（学位）论文通讯评议与答辩，符合学校毕业要求的，准予毕业并发给毕业证书。符合学位授予要求的，由学校颁发学位证书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/>
          <w:b w:val="0"/>
          <w:bCs/>
          <w:sz w:val="32"/>
          <w:szCs w:val="32"/>
        </w:rPr>
        <w:t>培养方案实施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等线" w:eastAsia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等线" w:eastAsia="仿宋_GB2312"/>
          <w:sz w:val="32"/>
          <w:szCs w:val="32"/>
          <w:highlight w:val="none"/>
        </w:rPr>
        <w:t>培养方案须经</w:t>
      </w:r>
      <w:r>
        <w:rPr>
          <w:rFonts w:hint="eastAsia" w:ascii="仿宋_GB2312" w:hAnsi="等线" w:eastAsia="仿宋_GB2312"/>
          <w:sz w:val="32"/>
          <w:szCs w:val="32"/>
          <w:highlight w:val="none"/>
          <w:lang w:val="en-US" w:eastAsia="zh-CN"/>
        </w:rPr>
        <w:t>专业学位点（领域）负责人、学院学位评定分委员会和学院分管研究生教育工作负责人</w:t>
      </w:r>
      <w:r>
        <w:rPr>
          <w:rFonts w:hint="eastAsia" w:ascii="仿宋_GB2312" w:hAnsi="等线" w:eastAsia="仿宋_GB2312"/>
          <w:sz w:val="32"/>
          <w:szCs w:val="32"/>
          <w:highlight w:val="none"/>
        </w:rPr>
        <w:t>签署意见后，提交研究生院核准、备案后方可实施。</w:t>
      </w:r>
      <w:r>
        <w:rPr>
          <w:rFonts w:hint="eastAsia" w:ascii="仿宋_GB2312" w:hAnsi="等线" w:eastAsia="仿宋_GB2312"/>
          <w:sz w:val="32"/>
          <w:szCs w:val="32"/>
          <w:highlight w:val="none"/>
          <w:lang w:val="en-US" w:eastAsia="zh-CN"/>
        </w:rPr>
        <w:t>培养方案实施情况将作为学位授权点专项评估、合格评估和水平评估的重要依据。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相关专业学位研究生教育指导委员会等若出台新的要求，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有关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培养方案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做相应调整。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6" w:firstLineChars="177"/>
        <w:textAlignment w:val="auto"/>
        <w:rPr>
          <w:rFonts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专业学位硕士</w:t>
      </w:r>
      <w:r>
        <w:rPr>
          <w:rFonts w:hint="eastAsia" w:ascii="仿宋_GB2312" w:hAnsi="等线" w:eastAsia="仿宋_GB2312"/>
          <w:sz w:val="32"/>
          <w:szCs w:val="32"/>
        </w:rPr>
        <w:t>应当在导师指导下，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等线" w:eastAsia="仿宋_GB2312"/>
          <w:sz w:val="32"/>
          <w:szCs w:val="32"/>
        </w:rPr>
        <w:t>培养方案制定个人培养计划。个人培养计划包括课程学习计划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、科研训练</w:t>
      </w:r>
      <w:r>
        <w:rPr>
          <w:rFonts w:hint="eastAsia" w:ascii="仿宋_GB2312" w:hAnsi="等线" w:eastAsia="仿宋_GB2312"/>
          <w:sz w:val="32"/>
          <w:szCs w:val="32"/>
        </w:rPr>
        <w:t>计划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和专业实践计划等</w:t>
      </w:r>
      <w:r>
        <w:rPr>
          <w:rFonts w:hint="eastAsia" w:ascii="仿宋_GB2312" w:hAnsi="等线" w:eastAsia="仿宋_GB2312"/>
          <w:sz w:val="32"/>
          <w:szCs w:val="32"/>
        </w:rPr>
        <w:t>，是导师指导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研究生</w:t>
      </w:r>
      <w:r>
        <w:rPr>
          <w:rFonts w:hint="eastAsia" w:ascii="仿宋_GB2312" w:hAnsi="等线" w:eastAsia="仿宋_GB2312"/>
          <w:sz w:val="32"/>
          <w:szCs w:val="32"/>
        </w:rPr>
        <w:t>和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研究生</w:t>
      </w:r>
      <w:r>
        <w:rPr>
          <w:rFonts w:hint="eastAsia" w:ascii="仿宋_GB2312" w:hAnsi="等线" w:eastAsia="仿宋_GB2312"/>
          <w:sz w:val="32"/>
          <w:szCs w:val="32"/>
        </w:rPr>
        <w:t>学习、开展研究工作的依据</w:t>
      </w:r>
      <w:r>
        <w:rPr>
          <w:rFonts w:hint="eastAsia" w:ascii="仿宋_GB2312" w:hAnsi="等线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等线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培养单位</w:t>
      </w:r>
      <w:r>
        <w:rPr>
          <w:rFonts w:hint="eastAsia" w:ascii="仿宋_GB2312" w:hAnsi="等线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依据个人培养计划开展</w:t>
      </w:r>
      <w:r>
        <w:rPr>
          <w:rFonts w:hint="eastAsia" w:ascii="仿宋_GB2312" w:hAnsi="等线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专业学位硕士</w:t>
      </w:r>
      <w:r>
        <w:rPr>
          <w:rFonts w:hint="eastAsia" w:ascii="仿宋_GB2312" w:hAnsi="等线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培养工作检查和评估。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/>
          <w:b w:val="0"/>
          <w:bCs/>
          <w:sz w:val="32"/>
          <w:szCs w:val="32"/>
        </w:rPr>
        <w:t>适用年级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6" w:firstLineChars="177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等线" w:eastAsia="仿宋_GB2312"/>
          <w:sz w:val="32"/>
          <w:szCs w:val="32"/>
        </w:rPr>
        <w:t>本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文件</w:t>
      </w:r>
      <w:r>
        <w:rPr>
          <w:rFonts w:hint="eastAsia" w:ascii="仿宋_GB2312" w:hAnsi="等线" w:eastAsia="仿宋_GB2312"/>
          <w:sz w:val="32"/>
          <w:szCs w:val="32"/>
        </w:rPr>
        <w:t>自2</w:t>
      </w:r>
      <w:r>
        <w:rPr>
          <w:rFonts w:ascii="仿宋_GB2312" w:hAnsi="等线" w:eastAsia="仿宋_GB2312"/>
          <w:sz w:val="32"/>
          <w:szCs w:val="32"/>
        </w:rPr>
        <w:t>0</w:t>
      </w:r>
      <w:r>
        <w:rPr>
          <w:rFonts w:hint="eastAsia" w:ascii="仿宋_GB2312" w:hAnsi="等线" w:eastAsia="仿宋_GB2312"/>
          <w:sz w:val="32"/>
          <w:szCs w:val="32"/>
        </w:rPr>
        <w:t>2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等线" w:eastAsia="仿宋_GB2312"/>
          <w:sz w:val="32"/>
          <w:szCs w:val="32"/>
        </w:rPr>
        <w:t>级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研究生</w:t>
      </w:r>
      <w:r>
        <w:rPr>
          <w:rFonts w:hint="eastAsia" w:ascii="仿宋_GB2312" w:hAnsi="等线" w:eastAsia="仿宋_GB2312"/>
          <w:sz w:val="32"/>
          <w:szCs w:val="32"/>
        </w:rPr>
        <w:t>起施行。如学校原有相关规定与本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文件</w:t>
      </w:r>
      <w:r>
        <w:rPr>
          <w:rFonts w:hint="eastAsia" w:ascii="仿宋_GB2312" w:hAnsi="等线" w:eastAsia="仿宋_GB2312"/>
          <w:sz w:val="32"/>
          <w:szCs w:val="32"/>
        </w:rPr>
        <w:t>规定有不一致的，以本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文件</w:t>
      </w:r>
      <w:r>
        <w:rPr>
          <w:rFonts w:hint="eastAsia" w:ascii="仿宋_GB2312" w:hAnsi="等线" w:eastAsia="仿宋_GB2312"/>
          <w:sz w:val="32"/>
          <w:szCs w:val="32"/>
        </w:rPr>
        <w:t>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FA316F"/>
    <w:multiLevelType w:val="singleLevel"/>
    <w:tmpl w:val="9EFA31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01B45"/>
    <w:rsid w:val="07EC543F"/>
    <w:rsid w:val="08263699"/>
    <w:rsid w:val="08286E5C"/>
    <w:rsid w:val="0CD130D4"/>
    <w:rsid w:val="130B316E"/>
    <w:rsid w:val="14A361AA"/>
    <w:rsid w:val="167D17AC"/>
    <w:rsid w:val="18753B8A"/>
    <w:rsid w:val="1A301E0F"/>
    <w:rsid w:val="1AD31223"/>
    <w:rsid w:val="1AE53AD0"/>
    <w:rsid w:val="1E642FB3"/>
    <w:rsid w:val="20B76A49"/>
    <w:rsid w:val="27BC28E9"/>
    <w:rsid w:val="289B144A"/>
    <w:rsid w:val="2AC20579"/>
    <w:rsid w:val="2BE35A7F"/>
    <w:rsid w:val="2E7A5C09"/>
    <w:rsid w:val="32075833"/>
    <w:rsid w:val="32F13DAF"/>
    <w:rsid w:val="377B4A27"/>
    <w:rsid w:val="38891799"/>
    <w:rsid w:val="3C26634A"/>
    <w:rsid w:val="3C8D2AB2"/>
    <w:rsid w:val="416A7CA6"/>
    <w:rsid w:val="424A5BD0"/>
    <w:rsid w:val="46201B45"/>
    <w:rsid w:val="4AFB7E39"/>
    <w:rsid w:val="4BD57843"/>
    <w:rsid w:val="51233FEB"/>
    <w:rsid w:val="54E670B0"/>
    <w:rsid w:val="57D0793E"/>
    <w:rsid w:val="62851796"/>
    <w:rsid w:val="66EB1D64"/>
    <w:rsid w:val="697F4133"/>
    <w:rsid w:val="6C5066D1"/>
    <w:rsid w:val="6CE74885"/>
    <w:rsid w:val="73517819"/>
    <w:rsid w:val="73983AC7"/>
    <w:rsid w:val="79D65575"/>
    <w:rsid w:val="7E831E45"/>
    <w:rsid w:val="7F70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2021-03-24T07:36:00Z</dcterms:created>
  <dc:creator>lyj</dc:creator>
  <cp:lastModifiedBy>lyj</cp:lastModifiedBy>
  <cp:lastPrinted>2021-05-18T02:00:22Z</cp:lastPrinted>
  <dcterms:modified xsi:type="dcterms:W3CDTF">2021-05-18T02:26:51Z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FC5A17C8706E4D9F90AC520F0155BDE9</vt:lpwstr>
  </property>
</Properties>
</file>