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  <w:lang w:eastAsia="zh-CN"/>
        </w:rPr>
        <w:t>宏微观经济学</w:t>
      </w:r>
      <w:r>
        <w:rPr>
          <w:rFonts w:hint="eastAsia"/>
          <w:b/>
          <w:sz w:val="32"/>
          <w:szCs w:val="32"/>
        </w:rPr>
        <w:t>》考试大纲</w:t>
      </w: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详见学校当年硕士研究生招生简章。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一、考查目标</w:t>
      </w:r>
    </w:p>
    <w:p>
      <w:pPr>
        <w:spacing w:line="360" w:lineRule="auto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该课程的考试目的主要在</w:t>
      </w:r>
      <w:r>
        <w:rPr>
          <w:sz w:val="24"/>
          <w:szCs w:val="24"/>
        </w:rPr>
        <w:t>于</w:t>
      </w:r>
      <w:r>
        <w:rPr>
          <w:rFonts w:hint="eastAsia"/>
          <w:sz w:val="24"/>
          <w:szCs w:val="24"/>
        </w:rPr>
        <w:t>测试考生对微观经济学、宏观经济学的基本概念、基本原理及基本研究方法的了解和掌握程度，了</w:t>
      </w:r>
      <w:r>
        <w:rPr>
          <w:sz w:val="24"/>
          <w:szCs w:val="24"/>
        </w:rPr>
        <w:t>解考生</w:t>
      </w:r>
      <w:r>
        <w:rPr>
          <w:rFonts w:hint="eastAsia"/>
          <w:sz w:val="24"/>
          <w:szCs w:val="24"/>
        </w:rPr>
        <w:t>是否具备运用经济学基本原理和方法分析问题、解决问题的基本能力，以保证被录取者具有基本的现代经济学理论素质，为研究生阶段的进一步学习奠定坚实的经济学基础。考试内容包括微观经济学和宏观经济学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二、考试形式和试卷结构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1.试卷满分及考试时间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本试卷满分150分，考试时间为180分钟。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2、答题方式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答题方式为闭卷、笔试</w:t>
      </w:r>
      <w:bookmarkStart w:id="0" w:name="_GoBack"/>
      <w:bookmarkEnd w:id="0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3、试卷题型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名词解释</w:t>
      </w:r>
      <w:r>
        <w:rPr>
          <w:rFonts w:hint="eastAsia"/>
          <w:sz w:val="24"/>
          <w:szCs w:val="24"/>
        </w:rPr>
        <w:t>（6题，共30分）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简答题</w:t>
      </w:r>
      <w:r>
        <w:rPr>
          <w:rFonts w:hint="eastAsia"/>
          <w:sz w:val="24"/>
          <w:szCs w:val="24"/>
        </w:rPr>
        <w:t>（5题，共50分）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计算题（2题，共20分）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论述题（2题，共50分）</w:t>
      </w: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三、考查范围</w:t>
      </w:r>
    </w:p>
    <w:p>
      <w:pPr>
        <w:spacing w:line="360" w:lineRule="auto"/>
        <w:ind w:firstLine="210" w:firstLineChars="100"/>
        <w:jc w:val="left"/>
        <w:rPr>
          <w:i/>
          <w:szCs w:val="21"/>
        </w:rPr>
      </w:pPr>
      <w:r>
        <w:rPr>
          <w:rFonts w:hint="eastAsia"/>
          <w:i/>
          <w:szCs w:val="21"/>
        </w:rPr>
        <w:t>（注：考查范围以马克思主义理论研究和建设工程重点教材《西方经济学》（上下册）为主，若有补充其他参考教材的知识点，会在相应部分标注出其他哪位作者的参考教材以及章节。）</w:t>
      </w:r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《微观经济学》部分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导 论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 w:ascii="宋体" w:hAnsi="宋体"/>
          <w:sz w:val="24"/>
          <w:szCs w:val="24"/>
        </w:rPr>
        <w:t>西方经济学的界定；2、西方经济学的由来和发展；3、西方经济学的研究对象；4、西方经济学的研究方法；5、怎样学习西方经济学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第一章 需求、供给和均衡价格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需求的定义及其表示；2、需求规律及特例；3、影响需求的其他因素；4、需求的变动和需求量的变动；5、单个消费者的需求和市场需求；6、供给的定义及其表示；7、供给规律及特例；8、影响供给的其他因素；9、供给的变动和供给量的变动；10、单个生产者的供给和市场供给；11、市场均衡及其变动；12、需求价格弹性的含义、类型和计算；13、影响需求弹性系数的因素；14、需求的收入弹性和交叉弹性；15、供给价格弹性的含义、类型和计算；16、影响供给弹性系数的因素；17、供求分析的应用事例：支持价格和限制价格、税收18、弹性和收入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第二章 消费者选择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  <w:szCs w:val="24"/>
        </w:rPr>
        <w:t>1、欲望与效用；2、基数效用与序数效用；3、总效用和边际效用4、边际效用递减规律；5、基数效用论的消费者均衡及其计算；6、消费者需求曲线的推导；7、消费者剩余；8、序数效用论的偏好和选择假设9、无差异曲线及其特点；10、边际替代率及其递减规律；11、无差异曲线的特例；12、预算约束线的含义及其变动；13、序数效用论的消费者均衡及其计算；14、收入-消费扩展线；15、恩格尔曲线和恩格尔定律；16、</w:t>
      </w:r>
      <w:r>
        <w:rPr>
          <w:rFonts w:hint="eastAsia"/>
          <w:color w:val="FF0000"/>
          <w:sz w:val="24"/>
          <w:szCs w:val="24"/>
        </w:rPr>
        <w:t>价格变动的</w:t>
      </w:r>
      <w:r>
        <w:rPr>
          <w:rFonts w:hint="eastAsia" w:ascii="宋体" w:hAnsi="宋体"/>
          <w:color w:val="FF0000"/>
          <w:sz w:val="24"/>
        </w:rPr>
        <w:t>收入效应和替代效应（平狄克《微观经济学》第8版，第4章）；</w:t>
      </w:r>
      <w:r>
        <w:rPr>
          <w:rFonts w:hint="eastAsia"/>
          <w:sz w:val="24"/>
          <w:szCs w:val="24"/>
        </w:rPr>
        <w:t>17、消费者的个人需求曲线及市场需求曲线；</w:t>
      </w:r>
      <w:r>
        <w:rPr>
          <w:rFonts w:hint="eastAsia" w:ascii="宋体" w:hAnsi="宋体"/>
          <w:sz w:val="24"/>
        </w:rPr>
        <w:t>18、</w:t>
      </w:r>
      <w:r>
        <w:rPr>
          <w:rFonts w:hint="eastAsia" w:ascii="宋体" w:hAnsi="宋体"/>
          <w:color w:val="FF0000"/>
          <w:sz w:val="24"/>
        </w:rPr>
        <w:t>网络外部性（平狄克《微观经济学》第8版，第4章）</w:t>
      </w:r>
      <w:r>
        <w:rPr>
          <w:rFonts w:hint="eastAsia" w:ascii="宋体" w:hAnsi="宋体"/>
          <w:sz w:val="24"/>
        </w:rPr>
        <w:t>；19、</w:t>
      </w:r>
      <w:r>
        <w:rPr>
          <w:rFonts w:hint="eastAsia" w:ascii="宋体" w:hAnsi="宋体"/>
          <w:color w:val="FF0000"/>
          <w:sz w:val="24"/>
        </w:rPr>
        <w:t>风险偏好与风险溢价（平狄克《微观经济学》第8版，第5章）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第三章 企业的生产和成本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生产函数；2、短期和长期；3、生产函数的例子；4、短期生产函数及其总产量、平均产量、边际产量；5、边际报酬递减规律；6、总产量、平均产量和边际产量之间的关系；7、生产的三个阶段；8、等产量曲线及其性质；9、边际技术替代率及其递减规律；10、等成本线及其变动；11、生产要素最优组合；12、生产扩展线；13、经济学中的成本；14、短期成本的概念；15、短期成本曲线之间的关系；16、长期总成本曲线、长期平均成本曲线；17、规模经济和长期平均成本曲线的形状；18、长期边际成本曲线；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第四章 完全竞争市场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1、企业收益和市场结构；2、划分市场结构的依据；3、企业的利润最大化原则；4、完全竞争企业面临的需求曲线和收益曲线；5、完全竞争企业的短期均衡；6、完全竞争企业及完全竞争市场的短期供给曲线；7、完全竞争企业和市场的长期均衡；8、完全竞争行业的长期供给曲线；</w:t>
      </w:r>
      <w:r>
        <w:rPr>
          <w:rFonts w:hint="eastAsia"/>
          <w:color w:val="FF0000"/>
          <w:sz w:val="24"/>
          <w:szCs w:val="24"/>
        </w:rPr>
        <w:t>9、效率分析、</w:t>
      </w:r>
      <w:r>
        <w:rPr>
          <w:rFonts w:hint="eastAsia" w:ascii="宋体" w:hAnsi="宋体"/>
          <w:color w:val="FF0000"/>
          <w:sz w:val="24"/>
        </w:rPr>
        <w:t>政策的损益评价方法（平狄克《微观经济学》第8版，第9章）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第五章 不完全竞争市场</w:t>
      </w:r>
    </w:p>
    <w:p>
      <w:pPr>
        <w:spacing w:line="360" w:lineRule="auto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、垄断的原因和类型；2、垄断企业的需求曲线和收益曲线；3、垄断企业的短期均衡；4、垄断企业的长期均衡；5、价格歧视；6、垄断竞争的特点；7、垄断竞争企业的需求曲线和收益曲线；8、垄断竞争企业的短期均衡；9、垄断竞争企业的长期均衡；10、寡头的特征；11、古诺模型；12、勾结和卡特尔；13、博弈模型；14、纳什均衡；</w:t>
      </w:r>
      <w:r>
        <w:rPr>
          <w:rFonts w:hint="eastAsia"/>
          <w:color w:val="FF0000"/>
          <w:sz w:val="24"/>
          <w:szCs w:val="24"/>
        </w:rPr>
        <w:t>15、</w:t>
      </w:r>
      <w:r>
        <w:rPr>
          <w:rFonts w:hint="eastAsia" w:ascii="宋体" w:hAnsi="宋体"/>
          <w:color w:val="FF0000"/>
          <w:sz w:val="24"/>
        </w:rPr>
        <w:t>占优策略（平狄克《微观经济学》第8版，第13章）；</w:t>
      </w:r>
      <w:r>
        <w:rPr>
          <w:rFonts w:hint="eastAsia"/>
          <w:sz w:val="24"/>
          <w:szCs w:val="24"/>
        </w:rPr>
        <w:t>16、博弈分析的简单应用；17、不同市场的经济效率比较。</w:t>
      </w: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第六章 生产要素市场和收入分配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边际产品价值和要素价格；2、完全竞争厂商使用要素的原则；3、完全竞争企业的要素需求曲线；4、完全竞争市场的要素需求曲线；5、要素供给原则；6、预算线—无差异曲线分析；7、要素供给曲线；8、劳动供给曲线；9、闲暇商品的替代效应和收入效应；10、工资的决定；11、土地的供给曲线；12、土地的价格和地租；13、贷款供给曲线；14、资本市场的均衡；15、产品卖方垄断条件下的要素价格决定；16、要素买方垄断条件下的要素价格决定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第七章 一般均衡和效率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1、局部均衡和一般均衡；2、瓦尔拉斯一般均衡模型；3、帕累托最优状态标准；4、交换效率；5、生产效率；6、交换和生产的帕累托最优条件；7、完全竞争和帕累托最优状态。</w:t>
      </w:r>
    </w:p>
    <w:p>
      <w:pPr>
        <w:spacing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第八章 市场失灵和微观经济政策</w:t>
      </w:r>
    </w:p>
    <w:p>
      <w:pPr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、垄断和低效率；2、寻租活动及经济损失；3、对垄断的监管；4、公共物品和市场失灵；5、公共物品的成本收益分析；6、公共资源；7、外部性影响及其分类；8、外部性影响和资源配置低效率；9、纠正外部性影响的政策；</w:t>
      </w:r>
      <w:r>
        <w:rPr>
          <w:rFonts w:hint="eastAsia"/>
          <w:color w:val="FF0000"/>
          <w:sz w:val="24"/>
          <w:szCs w:val="24"/>
        </w:rPr>
        <w:t>10、</w:t>
      </w:r>
      <w:r>
        <w:rPr>
          <w:rFonts w:hint="eastAsia" w:ascii="宋体" w:hAnsi="宋体"/>
          <w:color w:val="FF0000"/>
          <w:sz w:val="24"/>
        </w:rPr>
        <w:t>控制外部不经济的方法（平狄克《微观经济学》第8版，第18章）；</w:t>
      </w:r>
      <w:r>
        <w:rPr>
          <w:rFonts w:hint="eastAsia"/>
          <w:sz w:val="24"/>
          <w:szCs w:val="24"/>
        </w:rPr>
        <w:t>11、信息不完全和市场失灵；12、次品市场和逆向选择；11、纠正信息不完全的政策；14、收入分配不平等的度量；15、收入再分配；</w:t>
      </w:r>
      <w:r>
        <w:rPr>
          <w:rFonts w:hint="eastAsia"/>
          <w:color w:val="FF0000"/>
          <w:sz w:val="24"/>
          <w:szCs w:val="24"/>
        </w:rPr>
        <w:t>16、科斯定理</w:t>
      </w:r>
      <w:r>
        <w:rPr>
          <w:rFonts w:hint="eastAsia" w:ascii="宋体" w:hAnsi="宋体"/>
          <w:color w:val="FF0000"/>
          <w:sz w:val="24"/>
        </w:rPr>
        <w:t>（平狄克《微观经济学》第8版，第18章）。</w:t>
      </w:r>
    </w:p>
    <w:p>
      <w:pPr>
        <w:widowControl/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《宏观经济学》部分</w:t>
      </w:r>
    </w:p>
    <w:p>
      <w:pPr>
        <w:spacing w:line="360" w:lineRule="auto"/>
        <w:ind w:firstLine="361" w:firstLineChars="15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第九章 宏观经济的基本指标及其衡量</w:t>
      </w:r>
    </w:p>
    <w:p>
      <w:pPr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1、国内生产总值的概念；2、国内生产总值的核算方法； 3、国民收入的其他衡量指标； 4、国民收入的基本公式；5、名义GDP和实际GDP；6、失业的概念及衡量；7、物价水平的衡量。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b/>
          <w:sz w:val="24"/>
          <w:szCs w:val="24"/>
        </w:rPr>
        <w:t xml:space="preserve">   第十章 短期经济波动模型：产品市场的均衡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1、均衡产出的概念； 2、凯恩斯交叉图（收入－支出模型）与国民收入决定理论；3、短期国民收入的决定因素：消费需求和储蓄；4、短期国民收入的决定因素：投资需求；5、短期国民收入的决定因素：政府需求；6、短期国民收入的决定因素：国外需求；7、乘数理论。</w:t>
      </w:r>
    </w:p>
    <w:p>
      <w:pPr>
        <w:spacing w:line="360" w:lineRule="auto"/>
        <w:ind w:firstLine="482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第十一章 短期经济波动模型：产品市场和货币市场的共同均衡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1、IS曲线；2、LM曲线；3、利率决定理论；4、IS-LM模型；5、凯恩斯的基本理论。</w:t>
      </w:r>
    </w:p>
    <w:p>
      <w:pPr>
        <w:spacing w:line="360" w:lineRule="auto"/>
        <w:ind w:firstLine="482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第十二章 短期经济波动模型：总需求—总供给分析</w:t>
      </w:r>
    </w:p>
    <w:p>
      <w:pPr>
        <w:spacing w:line="360" w:lineRule="auto"/>
        <w:ind w:firstLine="480" w:firstLineChars="200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1、经济波动导论（曼昆《宏观经济学》第9版，第10章）；</w:t>
      </w:r>
      <w:r>
        <w:rPr>
          <w:rFonts w:hint="eastAsia"/>
          <w:sz w:val="24"/>
          <w:szCs w:val="24"/>
        </w:rPr>
        <w:t>2、总需求曲线；3、总供给的说明；4、总供给曲线不同特征的经济含义；5、总需求—总供给模型； 6、总需求—总供给模型对外来冲击的反应；</w:t>
      </w:r>
      <w:r>
        <w:rPr>
          <w:rFonts w:hint="eastAsia"/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>、</w:t>
      </w:r>
      <w:r>
        <w:rPr>
          <w:rFonts w:hint="eastAsia"/>
          <w:color w:val="FF0000"/>
          <w:sz w:val="24"/>
          <w:szCs w:val="24"/>
        </w:rPr>
        <w:t>经济波动的动态总供求模型（曼昆《宏观经济学》第9版，第15章）。</w:t>
      </w:r>
    </w:p>
    <w:p>
      <w:pPr>
        <w:spacing w:line="360" w:lineRule="auto"/>
        <w:ind w:firstLine="482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第十三章 失业、通货膨胀和经济周期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1、失业的宏观经济学解释；2、失业的社会和经济影响；3、奥肯定律；</w:t>
      </w:r>
      <w:r>
        <w:rPr>
          <w:rFonts w:hint="eastAsia"/>
          <w:color w:val="FF0000"/>
          <w:sz w:val="24"/>
          <w:szCs w:val="24"/>
        </w:rPr>
        <w:t>4、自然失业率的概念与成因（曼昆《宏观经济学》第9版，第7章）</w:t>
      </w:r>
      <w:r>
        <w:rPr>
          <w:rFonts w:hint="eastAsia"/>
          <w:sz w:val="24"/>
          <w:szCs w:val="24"/>
        </w:rPr>
        <w:t>；5、通货膨胀的描述；6、通货膨胀形成的原因；7、菲利普斯曲线；8、预期理论；</w:t>
      </w:r>
      <w:r>
        <w:rPr>
          <w:rFonts w:hint="eastAsia"/>
          <w:color w:val="FF0000"/>
          <w:sz w:val="24"/>
          <w:szCs w:val="24"/>
        </w:rPr>
        <w:t>9、长期的通货膨胀的起因与影响（曼昆《宏观经济学》第9版，第5章）</w:t>
      </w:r>
      <w:r>
        <w:rPr>
          <w:rFonts w:hint="eastAsia"/>
          <w:sz w:val="24"/>
          <w:szCs w:val="24"/>
        </w:rPr>
        <w:t>；10、经济周期的定义和类型；11、经济周期理论。</w:t>
      </w:r>
    </w:p>
    <w:p>
      <w:pPr>
        <w:spacing w:line="360" w:lineRule="auto"/>
        <w:ind w:firstLine="482" w:firstLineChars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第十</w:t>
      </w:r>
      <w:r>
        <w:rPr>
          <w:rFonts w:hint="eastAsia"/>
          <w:b/>
          <w:sz w:val="24"/>
          <w:szCs w:val="24"/>
        </w:rPr>
        <w:t>四</w:t>
      </w:r>
      <w:r>
        <w:rPr>
          <w:b/>
          <w:sz w:val="24"/>
          <w:szCs w:val="24"/>
        </w:rPr>
        <w:t xml:space="preserve">章 </w:t>
      </w:r>
      <w:r>
        <w:rPr>
          <w:rFonts w:hint="eastAsia"/>
          <w:b/>
          <w:sz w:val="24"/>
          <w:szCs w:val="24"/>
        </w:rPr>
        <w:t>经济增长和经济发展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长期趋势与波动的含义；2、经济增长的描述及核算；3、新古典增长模型的构建及含义；4、新古典增长模型的应用；5、新古典增长模型的缺陷及内生增长理论的基本含义；6、促进经济增长的政策讨论；7、经济发展的基本要素。</w:t>
      </w:r>
    </w:p>
    <w:p>
      <w:pPr>
        <w:spacing w:line="360" w:lineRule="auto"/>
        <w:ind w:firstLine="482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第十五章 开放经济的宏观经济学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1、国际收支平衡表；2、汇率与汇率制度；3、蒙代尔－弗莱明模型的构建过程及含义；4、利用蒙代尔弗莱明模型分析宏观经济政策的效果；</w:t>
      </w:r>
      <w:r>
        <w:rPr>
          <w:rFonts w:hint="eastAsia"/>
          <w:color w:val="FF0000"/>
          <w:sz w:val="24"/>
          <w:szCs w:val="24"/>
        </w:rPr>
        <w:t>5、从短期到长期：价格水平变动的蒙代尔－费莱明模型（曼昆《宏观经济学》第9版，第13章第6节）</w:t>
      </w:r>
    </w:p>
    <w:p>
      <w:pPr>
        <w:spacing w:line="360" w:lineRule="auto"/>
        <w:ind w:firstLine="482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第十六章 宏观经济政策</w:t>
      </w:r>
      <w:r>
        <w:rPr>
          <w:b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1、</w:t>
      </w:r>
      <w:r>
        <w:rPr>
          <w:rFonts w:hint="eastAsia"/>
          <w:sz w:val="24"/>
          <w:szCs w:val="24"/>
        </w:rPr>
        <w:t>宏观经济政策的四大目标；</w:t>
      </w:r>
      <w:r>
        <w:rPr>
          <w:sz w:val="24"/>
          <w:szCs w:val="24"/>
        </w:rPr>
        <w:t>2、</w:t>
      </w:r>
      <w:r>
        <w:rPr>
          <w:rFonts w:hint="eastAsia"/>
          <w:sz w:val="24"/>
          <w:szCs w:val="24"/>
        </w:rPr>
        <w:t>利用IS-LM模型分析财政政策效果；3、利用IS-LM模型分析货币政策效果；4、财政政策与货币政策的混合作用效果；5、供给管理政策；6、总需求管理政策与供给管理政策的争论及现实应用</w:t>
      </w:r>
      <w:r>
        <w:rPr>
          <w:sz w:val="24"/>
          <w:szCs w:val="24"/>
        </w:rPr>
        <w:t>；</w:t>
      </w:r>
      <w:r>
        <w:rPr>
          <w:color w:val="FF0000"/>
          <w:sz w:val="24"/>
          <w:szCs w:val="24"/>
        </w:rPr>
        <w:t>7、</w:t>
      </w:r>
      <w:r>
        <w:rPr>
          <w:rFonts w:hint="eastAsia"/>
          <w:color w:val="FF0000"/>
          <w:sz w:val="24"/>
          <w:szCs w:val="24"/>
        </w:rPr>
        <w:t>金融系统：机会与危险（曼昆《宏观经济学》第9版，第20章）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AF7"/>
    <w:rsid w:val="00061CF9"/>
    <w:rsid w:val="00067F2D"/>
    <w:rsid w:val="00090087"/>
    <w:rsid w:val="000D1CE7"/>
    <w:rsid w:val="000E35C1"/>
    <w:rsid w:val="001640B6"/>
    <w:rsid w:val="00165A04"/>
    <w:rsid w:val="00194404"/>
    <w:rsid w:val="001E56D1"/>
    <w:rsid w:val="001F3471"/>
    <w:rsid w:val="00224A76"/>
    <w:rsid w:val="002623FF"/>
    <w:rsid w:val="00272646"/>
    <w:rsid w:val="00292F1D"/>
    <w:rsid w:val="002D1652"/>
    <w:rsid w:val="00371BA7"/>
    <w:rsid w:val="00383960"/>
    <w:rsid w:val="0039440E"/>
    <w:rsid w:val="003A0F43"/>
    <w:rsid w:val="003C2F1B"/>
    <w:rsid w:val="003C6541"/>
    <w:rsid w:val="00403250"/>
    <w:rsid w:val="00441DCC"/>
    <w:rsid w:val="00441EA2"/>
    <w:rsid w:val="00451332"/>
    <w:rsid w:val="00461CEE"/>
    <w:rsid w:val="0047256C"/>
    <w:rsid w:val="0047438C"/>
    <w:rsid w:val="004A354B"/>
    <w:rsid w:val="004C4201"/>
    <w:rsid w:val="004C5E34"/>
    <w:rsid w:val="004E553A"/>
    <w:rsid w:val="00535A3E"/>
    <w:rsid w:val="005A16EA"/>
    <w:rsid w:val="005D1E66"/>
    <w:rsid w:val="005E0783"/>
    <w:rsid w:val="006135C4"/>
    <w:rsid w:val="006149DD"/>
    <w:rsid w:val="0062054E"/>
    <w:rsid w:val="006C2A82"/>
    <w:rsid w:val="006D4A71"/>
    <w:rsid w:val="007B3B19"/>
    <w:rsid w:val="007C2AF7"/>
    <w:rsid w:val="007E2C14"/>
    <w:rsid w:val="007F369B"/>
    <w:rsid w:val="00870D84"/>
    <w:rsid w:val="008969A6"/>
    <w:rsid w:val="00910ECB"/>
    <w:rsid w:val="00923C8F"/>
    <w:rsid w:val="00933F11"/>
    <w:rsid w:val="00953037"/>
    <w:rsid w:val="009764C1"/>
    <w:rsid w:val="009A397D"/>
    <w:rsid w:val="009B0398"/>
    <w:rsid w:val="009D23D3"/>
    <w:rsid w:val="009F0CF8"/>
    <w:rsid w:val="00A030CF"/>
    <w:rsid w:val="00A26C6A"/>
    <w:rsid w:val="00A47B41"/>
    <w:rsid w:val="00A65B3B"/>
    <w:rsid w:val="00A75440"/>
    <w:rsid w:val="00B05728"/>
    <w:rsid w:val="00B41E5B"/>
    <w:rsid w:val="00B60F4F"/>
    <w:rsid w:val="00BD200B"/>
    <w:rsid w:val="00BE45FD"/>
    <w:rsid w:val="00C37B4A"/>
    <w:rsid w:val="00C7635A"/>
    <w:rsid w:val="00CA0A33"/>
    <w:rsid w:val="00CC12B9"/>
    <w:rsid w:val="00D251D1"/>
    <w:rsid w:val="00E27786"/>
    <w:rsid w:val="00E5266E"/>
    <w:rsid w:val="00E70664"/>
    <w:rsid w:val="00EB079D"/>
    <w:rsid w:val="00EC1C06"/>
    <w:rsid w:val="00F23D00"/>
    <w:rsid w:val="00F270D3"/>
    <w:rsid w:val="00F704B8"/>
    <w:rsid w:val="00F87648"/>
    <w:rsid w:val="00FD38E6"/>
    <w:rsid w:val="00FD4C11"/>
    <w:rsid w:val="62C40466"/>
    <w:rsid w:val="749000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文字字符"/>
    <w:basedOn w:val="8"/>
    <w:link w:val="2"/>
    <w:semiHidden/>
    <w:qFormat/>
    <w:uiPriority w:val="99"/>
  </w:style>
  <w:style w:type="character" w:customStyle="1" w:styleId="12">
    <w:name w:val="批注主题字符"/>
    <w:basedOn w:val="11"/>
    <w:link w:val="6"/>
    <w:semiHidden/>
    <w:qFormat/>
    <w:uiPriority w:val="99"/>
    <w:rPr>
      <w:b/>
      <w:bCs/>
    </w:rPr>
  </w:style>
  <w:style w:type="character" w:customStyle="1" w:styleId="13">
    <w:name w:val="批注框文本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字符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507</Words>
  <Characters>2891</Characters>
  <Lines>24</Lines>
  <Paragraphs>6</Paragraphs>
  <TotalTime>17</TotalTime>
  <ScaleCrop>false</ScaleCrop>
  <LinksUpToDate>false</LinksUpToDate>
  <CharactersWithSpaces>3392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2018-09-13T01:58:00Z</dcterms:created>
  <dc:creator>DADI</dc:creator>
  <cp:lastModifiedBy>若洋洋</cp:lastModifiedBy>
  <dcterms:modified xsi:type="dcterms:W3CDTF">2020-09-09T03:23:46Z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