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414D4">
      <w:pPr>
        <w:pStyle w:val="2"/>
        <w:shd w:val="clear" w:color="auto" w:fill="FAFAFA"/>
        <w:spacing w:before="0" w:beforeAutospacing="0" w:after="0" w:afterAutospacing="0" w:line="600" w:lineRule="exact"/>
        <w:jc w:val="center"/>
        <w:outlineLvl w:val="0"/>
        <w:rPr>
          <w:rFonts w:ascii="方正小标宋简体" w:hAnsi="Arial" w:eastAsia="方正小标宋简体" w:cs="Arial"/>
          <w:sz w:val="44"/>
          <w:szCs w:val="36"/>
        </w:rPr>
      </w:pPr>
      <w:r>
        <w:rPr>
          <w:rStyle w:val="5"/>
          <w:rFonts w:hint="eastAsia" w:ascii="方正小标宋简体" w:hAnsi="Arial" w:eastAsia="方正小标宋简体" w:cs="Arial"/>
          <w:sz w:val="44"/>
          <w:szCs w:val="36"/>
        </w:rPr>
        <w:t>硕士研究生入学考试大纲</w:t>
      </w:r>
      <w:r>
        <w:rPr>
          <w:rStyle w:val="5"/>
          <w:rFonts w:ascii="方正小标宋简体" w:hAnsi="Arial" w:eastAsia="方正小标宋简体" w:cs="Arial"/>
          <w:sz w:val="44"/>
          <w:szCs w:val="36"/>
        </w:rPr>
        <w:br w:type="textWrapping"/>
      </w:r>
      <w:r>
        <w:rPr>
          <w:rFonts w:hint="eastAsia" w:ascii="方正小标宋简体" w:hAnsi="Arial" w:eastAsia="方正小标宋简体" w:cs="Arial"/>
          <w:sz w:val="44"/>
          <w:szCs w:val="36"/>
        </w:rPr>
        <w:t>《803管理学综合》</w:t>
      </w:r>
    </w:p>
    <w:p w14:paraId="5924153B">
      <w:pPr>
        <w:pStyle w:val="2"/>
        <w:shd w:val="clear" w:color="auto" w:fill="FAFAFA"/>
        <w:spacing w:before="0" w:beforeAutospacing="0" w:after="0" w:afterAutospacing="0" w:line="600" w:lineRule="exact"/>
        <w:jc w:val="center"/>
        <w:outlineLvl w:val="0"/>
      </w:pPr>
    </w:p>
    <w:p w14:paraId="1DF0D12B">
      <w:pPr>
        <w:ind w:firstLine="643" w:firstLineChars="200"/>
        <w:rPr>
          <w:rFonts w:ascii="黑体" w:hAnsi="黑体" w:eastAsia="黑体"/>
          <w:b/>
          <w:sz w:val="32"/>
          <w:szCs w:val="32"/>
        </w:rPr>
      </w:pPr>
      <w:r>
        <w:rPr>
          <w:rFonts w:hint="eastAsia" w:ascii="黑体" w:hAnsi="黑体" w:eastAsia="黑体"/>
          <w:b/>
          <w:sz w:val="32"/>
          <w:szCs w:val="32"/>
        </w:rPr>
        <w:t>一、考试性质</w:t>
      </w:r>
    </w:p>
    <w:p w14:paraId="1F1883AD">
      <w:pPr>
        <w:pStyle w:val="2"/>
        <w:shd w:val="clear" w:color="auto" w:fill="FAFAFA"/>
        <w:spacing w:before="0" w:beforeAutospacing="0" w:after="0" w:afterAutospacing="0" w:line="560" w:lineRule="exact"/>
        <w:ind w:firstLine="640" w:firstLineChars="200"/>
        <w:rPr>
          <w:rFonts w:ascii="Verdana" w:hAnsi="Verdana" w:cs="Arial"/>
          <w:b/>
          <w:bCs/>
          <w:color w:val="000000"/>
        </w:rPr>
      </w:pPr>
      <w:r>
        <w:rPr>
          <w:rFonts w:hint="eastAsia"/>
          <w:sz w:val="32"/>
          <w:szCs w:val="32"/>
        </w:rPr>
        <w:t>管理学综合是我校为招收管理科学与工程专业硕士研究生而设置的具有选拔性质的专业综合考试课程</w:t>
      </w:r>
      <w:r>
        <w:rPr>
          <w:rFonts w:hint="eastAsia" w:ascii="Malgun Gothic Semilight" w:hAnsi="Malgun Gothic Semilight" w:eastAsia="Malgun Gothic Semilight" w:cs="Malgun Gothic Semilight"/>
          <w:sz w:val="32"/>
          <w:szCs w:val="32"/>
        </w:rPr>
        <w:t>，</w:t>
      </w:r>
      <w:r>
        <w:rPr>
          <w:rFonts w:hint="eastAsia"/>
          <w:sz w:val="32"/>
          <w:szCs w:val="32"/>
        </w:rPr>
        <w:t>其目的是科学</w:t>
      </w:r>
      <w:r>
        <w:rPr>
          <w:rFonts w:hint="eastAsia" w:ascii="Malgun Gothic Semilight" w:hAnsi="Malgun Gothic Semilight" w:eastAsia="Malgun Gothic Semilight" w:cs="Malgun Gothic Semilight"/>
          <w:sz w:val="32"/>
          <w:szCs w:val="32"/>
        </w:rPr>
        <w:t>、</w:t>
      </w:r>
      <w:r>
        <w:rPr>
          <w:rFonts w:hint="eastAsia"/>
          <w:sz w:val="32"/>
          <w:szCs w:val="32"/>
        </w:rPr>
        <w:t>公平</w:t>
      </w:r>
      <w:r>
        <w:rPr>
          <w:rFonts w:hint="eastAsia" w:ascii="Malgun Gothic Semilight" w:hAnsi="Malgun Gothic Semilight" w:eastAsia="Malgun Gothic Semilight" w:cs="Malgun Gothic Semilight"/>
          <w:sz w:val="32"/>
          <w:szCs w:val="32"/>
        </w:rPr>
        <w:t>、</w:t>
      </w:r>
      <w:r>
        <w:rPr>
          <w:rFonts w:hint="eastAsia"/>
          <w:sz w:val="32"/>
          <w:szCs w:val="32"/>
        </w:rPr>
        <w:t>有效地测试考生是否具备攻读管理科学与工程专业硕士学位所必需的基本素质</w:t>
      </w:r>
      <w:r>
        <w:rPr>
          <w:rFonts w:hint="eastAsia" w:ascii="Malgun Gothic Semilight" w:hAnsi="Malgun Gothic Semilight" w:eastAsia="Malgun Gothic Semilight" w:cs="Malgun Gothic Semilight"/>
          <w:sz w:val="32"/>
          <w:szCs w:val="32"/>
        </w:rPr>
        <w:t>、</w:t>
      </w:r>
      <w:r>
        <w:rPr>
          <w:rFonts w:hint="eastAsia"/>
          <w:sz w:val="32"/>
          <w:szCs w:val="32"/>
        </w:rPr>
        <w:t>一般能力和培养潜能</w:t>
      </w:r>
      <w:r>
        <w:rPr>
          <w:rFonts w:hint="eastAsia" w:ascii="Malgun Gothic Semilight" w:hAnsi="Malgun Gothic Semilight" w:eastAsia="Malgun Gothic Semilight" w:cs="Malgun Gothic Semilight"/>
          <w:sz w:val="32"/>
          <w:szCs w:val="32"/>
        </w:rPr>
        <w:t>，</w:t>
      </w:r>
      <w:r>
        <w:rPr>
          <w:rFonts w:hint="eastAsia"/>
          <w:sz w:val="32"/>
          <w:szCs w:val="32"/>
        </w:rPr>
        <w:t>评价的标准是高等学校本科毕业生所能达到的及格或及格以上水平</w:t>
      </w:r>
      <w:r>
        <w:rPr>
          <w:rFonts w:hint="eastAsia" w:ascii="Malgun Gothic Semilight" w:hAnsi="Malgun Gothic Semilight" w:eastAsia="Malgun Gothic Semilight" w:cs="Malgun Gothic Semilight"/>
          <w:sz w:val="32"/>
          <w:szCs w:val="32"/>
        </w:rPr>
        <w:t>，</w:t>
      </w:r>
      <w:r>
        <w:rPr>
          <w:rFonts w:hint="eastAsia"/>
          <w:sz w:val="32"/>
          <w:szCs w:val="32"/>
        </w:rPr>
        <w:t>确保我校管理科学与工程专业硕士研究生招生质量</w:t>
      </w:r>
      <w:r>
        <w:rPr>
          <w:rFonts w:hint="eastAsia" w:ascii="仿宋_GB2312" w:hAnsi="Arial" w:eastAsia="仿宋_GB2312" w:cs="Arial"/>
          <w:sz w:val="32"/>
          <w:szCs w:val="32"/>
        </w:rPr>
        <w:t>。</w:t>
      </w:r>
    </w:p>
    <w:p w14:paraId="3DA81A5D">
      <w:pPr>
        <w:spacing w:line="360" w:lineRule="auto"/>
        <w:ind w:firstLine="643" w:firstLineChars="200"/>
        <w:jc w:val="left"/>
        <w:rPr>
          <w:rFonts w:ascii="黑体" w:hAnsi="黑体" w:eastAsia="黑体"/>
          <w:b/>
          <w:bCs/>
          <w:sz w:val="32"/>
          <w:szCs w:val="32"/>
        </w:rPr>
      </w:pPr>
      <w:r>
        <w:rPr>
          <w:rFonts w:hint="eastAsia" w:ascii="黑体" w:hAnsi="黑体" w:eastAsia="黑体"/>
          <w:b/>
          <w:bCs/>
          <w:sz w:val="32"/>
          <w:szCs w:val="32"/>
        </w:rPr>
        <w:t>二、考查目标</w:t>
      </w:r>
    </w:p>
    <w:p w14:paraId="1C3F8EEA">
      <w:pPr>
        <w:spacing w:line="360" w:lineRule="auto"/>
        <w:ind w:firstLine="640" w:firstLineChars="200"/>
        <w:jc w:val="left"/>
        <w:rPr>
          <w:rFonts w:ascii="Calibri" w:hAnsi="Calibri"/>
          <w:sz w:val="32"/>
          <w:szCs w:val="32"/>
        </w:rPr>
      </w:pPr>
      <w:r>
        <w:rPr>
          <w:rFonts w:hint="eastAsia" w:ascii="Calibri" w:hAnsi="Calibri"/>
          <w:sz w:val="32"/>
          <w:szCs w:val="32"/>
        </w:rPr>
        <w:t>要求考生能够正确理解管理的概念与特征，系统掌握管理学的基本原理、逻辑体系、内容和方法，正确认识管理活动的一般规律，为进一步学习深造打下扎实理论基础。</w:t>
      </w:r>
    </w:p>
    <w:p w14:paraId="22EEC816">
      <w:pPr>
        <w:spacing w:line="360" w:lineRule="auto"/>
        <w:ind w:firstLine="640" w:firstLineChars="200"/>
        <w:jc w:val="left"/>
        <w:rPr>
          <w:rFonts w:ascii="Calibri" w:hAnsi="Calibri"/>
          <w:sz w:val="32"/>
          <w:szCs w:val="32"/>
        </w:rPr>
      </w:pPr>
      <w:r>
        <w:rPr>
          <w:rFonts w:hint="eastAsia" w:ascii="Calibri" w:hAnsi="Calibri"/>
          <w:sz w:val="32"/>
          <w:szCs w:val="32"/>
        </w:rPr>
        <w:t>要求考生能够理论联系实际，将所学的管理学理论知识和方法运用于分析不同组织的管理问题，具备一定分析和解决实际问题的素质能力。</w:t>
      </w:r>
    </w:p>
    <w:p w14:paraId="7CA27A3E">
      <w:pPr>
        <w:spacing w:line="360" w:lineRule="auto"/>
        <w:ind w:firstLine="643" w:firstLineChars="200"/>
        <w:jc w:val="left"/>
        <w:rPr>
          <w:rFonts w:ascii="黑体" w:hAnsi="黑体" w:eastAsia="黑体"/>
          <w:b/>
          <w:bCs/>
          <w:sz w:val="32"/>
          <w:szCs w:val="32"/>
        </w:rPr>
      </w:pPr>
      <w:r>
        <w:rPr>
          <w:rFonts w:hint="eastAsia" w:ascii="黑体" w:hAnsi="黑体" w:eastAsia="黑体"/>
          <w:b/>
          <w:bCs/>
          <w:sz w:val="32"/>
          <w:szCs w:val="32"/>
        </w:rPr>
        <w:t>三、考试形式与试卷结构</w:t>
      </w:r>
    </w:p>
    <w:p w14:paraId="1DD3525F">
      <w:pPr>
        <w:pStyle w:val="2"/>
        <w:shd w:val="clear" w:color="auto" w:fill="FAFAFA"/>
        <w:spacing w:before="0" w:beforeAutospacing="0" w:after="0" w:afterAutospacing="0" w:line="560" w:lineRule="exact"/>
        <w:ind w:firstLine="643" w:firstLineChars="200"/>
        <w:rPr>
          <w:rFonts w:cs="Arial" w:asciiTheme="minorEastAsia" w:hAnsiTheme="minorEastAsia" w:eastAsiaTheme="minorEastAsia"/>
          <w:sz w:val="32"/>
          <w:szCs w:val="32"/>
        </w:rPr>
      </w:pPr>
      <w:r>
        <w:rPr>
          <w:rStyle w:val="5"/>
          <w:rFonts w:hint="eastAsia" w:cs="Arial" w:asciiTheme="minorEastAsia" w:hAnsiTheme="minorEastAsia" w:eastAsiaTheme="minorEastAsia"/>
          <w:sz w:val="32"/>
          <w:szCs w:val="32"/>
        </w:rPr>
        <w:t>（一）试卷满分及考试时间</w:t>
      </w:r>
    </w:p>
    <w:p w14:paraId="70FD5D4F">
      <w:pPr>
        <w:pStyle w:val="2"/>
        <w:shd w:val="clear" w:color="auto" w:fill="FAFAFA"/>
        <w:spacing w:before="0" w:beforeAutospacing="0" w:after="0" w:afterAutospacing="0" w:line="560" w:lineRule="exact"/>
        <w:ind w:firstLine="640" w:firstLineChars="200"/>
        <w:rPr>
          <w:rFonts w:cs="Arial" w:asciiTheme="minorEastAsia" w:hAnsiTheme="minorEastAsia" w:eastAsiaTheme="minorEastAsia"/>
          <w:sz w:val="32"/>
          <w:szCs w:val="32"/>
        </w:rPr>
      </w:pPr>
      <w:r>
        <w:rPr>
          <w:rFonts w:hint="eastAsia" w:cs="Arial" w:asciiTheme="minorEastAsia" w:hAnsiTheme="minorEastAsia" w:eastAsiaTheme="minorEastAsia"/>
          <w:sz w:val="32"/>
          <w:szCs w:val="32"/>
        </w:rPr>
        <w:t>试卷满分为150分，考试时间为180分钟。</w:t>
      </w:r>
    </w:p>
    <w:p w14:paraId="357C2198">
      <w:pPr>
        <w:pStyle w:val="2"/>
        <w:shd w:val="clear" w:color="auto" w:fill="FAFAFA"/>
        <w:spacing w:before="0" w:beforeAutospacing="0" w:after="0" w:afterAutospacing="0" w:line="560" w:lineRule="exact"/>
        <w:ind w:firstLine="643" w:firstLineChars="200"/>
        <w:rPr>
          <w:rFonts w:cs="Arial" w:asciiTheme="minorEastAsia" w:hAnsiTheme="minorEastAsia" w:eastAsiaTheme="minorEastAsia"/>
          <w:sz w:val="32"/>
          <w:szCs w:val="32"/>
        </w:rPr>
      </w:pPr>
      <w:r>
        <w:rPr>
          <w:rStyle w:val="5"/>
          <w:rFonts w:hint="eastAsia" w:cs="Arial" w:asciiTheme="minorEastAsia" w:hAnsiTheme="minorEastAsia" w:eastAsiaTheme="minorEastAsia"/>
          <w:sz w:val="32"/>
          <w:szCs w:val="32"/>
        </w:rPr>
        <w:t>（二）答题方式</w:t>
      </w:r>
    </w:p>
    <w:p w14:paraId="08F82CED">
      <w:pPr>
        <w:pStyle w:val="2"/>
        <w:shd w:val="clear" w:color="auto" w:fill="FAFAFA"/>
        <w:spacing w:before="0" w:beforeAutospacing="0" w:after="0" w:afterAutospacing="0" w:line="560" w:lineRule="exact"/>
        <w:ind w:firstLine="640" w:firstLineChars="200"/>
        <w:rPr>
          <w:rFonts w:cs="Arial" w:asciiTheme="minorEastAsia" w:hAnsiTheme="minorEastAsia" w:eastAsiaTheme="minorEastAsia"/>
          <w:sz w:val="32"/>
          <w:szCs w:val="32"/>
        </w:rPr>
      </w:pPr>
      <w:r>
        <w:rPr>
          <w:rFonts w:hint="eastAsia" w:cs="Arial" w:asciiTheme="minorEastAsia" w:hAnsiTheme="minorEastAsia" w:eastAsiaTheme="minorEastAsia"/>
          <w:sz w:val="32"/>
          <w:szCs w:val="32"/>
        </w:rPr>
        <w:t>答题方式为闭卷、笔试。不允许使用计算器。</w:t>
      </w:r>
    </w:p>
    <w:p w14:paraId="6E22C3B5">
      <w:pPr>
        <w:pStyle w:val="2"/>
        <w:shd w:val="clear" w:color="auto" w:fill="FAFAFA"/>
        <w:spacing w:before="0" w:beforeAutospacing="0" w:after="0" w:afterAutospacing="0" w:line="560" w:lineRule="exact"/>
        <w:ind w:firstLine="643" w:firstLineChars="200"/>
        <w:rPr>
          <w:rFonts w:cs="Arial" w:asciiTheme="minorEastAsia" w:hAnsiTheme="minorEastAsia" w:eastAsiaTheme="minorEastAsia"/>
          <w:sz w:val="32"/>
          <w:szCs w:val="32"/>
        </w:rPr>
      </w:pPr>
      <w:r>
        <w:rPr>
          <w:rStyle w:val="5"/>
          <w:rFonts w:hint="eastAsia" w:cs="Arial" w:asciiTheme="minorEastAsia" w:hAnsiTheme="minorEastAsia" w:eastAsiaTheme="minorEastAsia"/>
          <w:sz w:val="32"/>
          <w:szCs w:val="32"/>
        </w:rPr>
        <w:t>（三）试卷包含内容</w:t>
      </w:r>
    </w:p>
    <w:p w14:paraId="185F921D">
      <w:pPr>
        <w:pStyle w:val="2"/>
        <w:shd w:val="clear" w:color="auto" w:fill="FAFAFA"/>
        <w:spacing w:before="0" w:beforeAutospacing="0" w:after="0" w:afterAutospacing="0" w:line="560" w:lineRule="exact"/>
        <w:ind w:firstLine="640" w:firstLineChars="200"/>
        <w:rPr>
          <w:rFonts w:cs="Arial" w:asciiTheme="minorEastAsia" w:hAnsiTheme="minorEastAsia" w:eastAsiaTheme="minorEastAsia"/>
          <w:sz w:val="32"/>
          <w:szCs w:val="32"/>
        </w:rPr>
      </w:pPr>
      <w:r>
        <w:rPr>
          <w:rFonts w:hint="eastAsia" w:asciiTheme="minorEastAsia" w:hAnsiTheme="minorEastAsia" w:eastAsiaTheme="minorEastAsia"/>
          <w:sz w:val="32"/>
          <w:szCs w:val="32"/>
        </w:rPr>
        <w:t>简答题</w:t>
      </w:r>
      <w:r>
        <w:rPr>
          <w:rFonts w:hint="eastAsia" w:cs="Arial" w:asciiTheme="minorEastAsia" w:hAnsiTheme="minorEastAsia" w:eastAsiaTheme="minorEastAsia"/>
          <w:sz w:val="32"/>
          <w:szCs w:val="32"/>
        </w:rPr>
        <w:t>：8小题，每小题10分，共80分</w:t>
      </w:r>
    </w:p>
    <w:p w14:paraId="20437285">
      <w:pPr>
        <w:pStyle w:val="2"/>
        <w:shd w:val="clear" w:color="auto" w:fill="FAFAFA"/>
        <w:spacing w:before="0" w:beforeAutospacing="0" w:after="0" w:afterAutospacing="0" w:line="560" w:lineRule="exact"/>
        <w:ind w:firstLine="640" w:firstLineChars="200"/>
        <w:rPr>
          <w:rFonts w:cs="Arial" w:asciiTheme="minorEastAsia" w:hAnsiTheme="minorEastAsia" w:eastAsiaTheme="minorEastAsia"/>
          <w:sz w:val="32"/>
          <w:szCs w:val="32"/>
        </w:rPr>
      </w:pPr>
      <w:r>
        <w:rPr>
          <w:rFonts w:hint="eastAsia" w:asciiTheme="minorEastAsia" w:hAnsiTheme="minorEastAsia" w:eastAsiaTheme="minorEastAsia"/>
          <w:sz w:val="32"/>
          <w:szCs w:val="32"/>
        </w:rPr>
        <w:t>论述题</w:t>
      </w:r>
      <w:r>
        <w:rPr>
          <w:rFonts w:hint="eastAsia" w:cs="Arial" w:asciiTheme="minorEastAsia" w:hAnsiTheme="minorEastAsia" w:eastAsiaTheme="minorEastAsia"/>
          <w:sz w:val="32"/>
          <w:szCs w:val="32"/>
        </w:rPr>
        <w:t>：4小题，共70分。</w:t>
      </w:r>
    </w:p>
    <w:p w14:paraId="31BD75B9">
      <w:pPr>
        <w:spacing w:line="360" w:lineRule="auto"/>
        <w:ind w:firstLine="643" w:firstLineChars="200"/>
        <w:jc w:val="left"/>
        <w:rPr>
          <w:rFonts w:ascii="Verdana" w:hAnsi="Verdana" w:cs="Arial"/>
          <w:b/>
          <w:bCs/>
          <w:color w:val="000000"/>
          <w:kern w:val="0"/>
          <w:sz w:val="32"/>
          <w:szCs w:val="32"/>
        </w:rPr>
      </w:pPr>
      <w:r>
        <w:rPr>
          <w:rFonts w:hint="eastAsia" w:ascii="Verdana" w:hAnsi="Verdana" w:cs="Arial"/>
          <w:b/>
          <w:bCs/>
          <w:color w:val="000000"/>
          <w:kern w:val="0"/>
          <w:sz w:val="32"/>
          <w:szCs w:val="32"/>
        </w:rPr>
        <w:t>四、考查内容</w:t>
      </w:r>
    </w:p>
    <w:p w14:paraId="6A65F982">
      <w:pPr>
        <w:spacing w:line="360" w:lineRule="auto"/>
        <w:ind w:firstLine="640" w:firstLineChars="200"/>
        <w:jc w:val="left"/>
        <w:rPr>
          <w:rFonts w:hint="default" w:ascii="Calibri" w:hAnsi="Calibri" w:eastAsiaTheme="minorEastAsia"/>
          <w:sz w:val="32"/>
          <w:szCs w:val="32"/>
          <w:lang w:val="en-US" w:eastAsia="zh-CN"/>
        </w:rPr>
      </w:pPr>
      <w:r>
        <w:rPr>
          <w:rFonts w:hint="eastAsia" w:ascii="Calibri" w:hAnsi="Calibri"/>
          <w:sz w:val="32"/>
          <w:szCs w:val="32"/>
        </w:rPr>
        <w:t>1. 管理导论</w:t>
      </w:r>
      <w:r>
        <w:rPr>
          <w:rFonts w:hint="eastAsia" w:ascii="Calibri" w:hAnsi="Calibri"/>
          <w:sz w:val="32"/>
          <w:szCs w:val="32"/>
          <w:lang w:val="en-US" w:eastAsia="zh-CN"/>
        </w:rPr>
        <w:t>和管理理论的历史演变</w:t>
      </w:r>
    </w:p>
    <w:p w14:paraId="18250219">
      <w:pPr>
        <w:spacing w:line="360" w:lineRule="auto"/>
        <w:ind w:firstLine="640" w:firstLineChars="200"/>
        <w:jc w:val="left"/>
        <w:rPr>
          <w:rFonts w:hint="eastAsia" w:ascii="Calibri" w:hAnsi="Calibri"/>
          <w:sz w:val="32"/>
          <w:szCs w:val="32"/>
          <w:lang w:val="en-US" w:eastAsia="zh-CN"/>
        </w:rPr>
      </w:pPr>
      <w:r>
        <w:rPr>
          <w:rFonts w:hint="eastAsia" w:ascii="宋体" w:hAnsi="宋体"/>
          <w:sz w:val="32"/>
          <w:szCs w:val="32"/>
        </w:rPr>
        <w:t>管理的</w:t>
      </w:r>
      <w:r>
        <w:rPr>
          <w:rFonts w:hint="eastAsia" w:ascii="Calibri" w:hAnsi="Calibri"/>
          <w:sz w:val="32"/>
          <w:szCs w:val="32"/>
        </w:rPr>
        <w:t>内涵与本质；管理的基本原理、基本方法、基本工具；管理活动的时代背景与时代特点；</w:t>
      </w:r>
      <w:r>
        <w:rPr>
          <w:rFonts w:hint="eastAsia" w:ascii="Calibri" w:hAnsi="Calibri"/>
          <w:sz w:val="32"/>
          <w:szCs w:val="32"/>
          <w:lang w:val="en-US" w:eastAsia="zh-CN"/>
        </w:rPr>
        <w:t>古典管理理论；现代管理流派；当代管理理论。</w:t>
      </w:r>
    </w:p>
    <w:p w14:paraId="13B529C6">
      <w:pPr>
        <w:spacing w:line="360" w:lineRule="auto"/>
        <w:ind w:firstLine="640" w:firstLineChars="200"/>
        <w:jc w:val="left"/>
        <w:rPr>
          <w:rFonts w:ascii="Calibri" w:hAnsi="Calibri"/>
          <w:sz w:val="32"/>
          <w:szCs w:val="32"/>
        </w:rPr>
      </w:pPr>
      <w:r>
        <w:rPr>
          <w:rFonts w:hint="eastAsia" w:ascii="Calibri" w:hAnsi="Calibri"/>
          <w:sz w:val="32"/>
          <w:szCs w:val="32"/>
        </w:rPr>
        <w:t>2. 决策</w:t>
      </w:r>
    </w:p>
    <w:p w14:paraId="38632A42">
      <w:pPr>
        <w:spacing w:line="360" w:lineRule="auto"/>
        <w:ind w:firstLine="640" w:firstLineChars="200"/>
        <w:jc w:val="left"/>
        <w:rPr>
          <w:rFonts w:ascii="Calibri" w:hAnsi="Calibri"/>
          <w:sz w:val="32"/>
          <w:szCs w:val="32"/>
        </w:rPr>
      </w:pPr>
      <w:r>
        <w:rPr>
          <w:rFonts w:hint="eastAsia" w:ascii="Calibri" w:hAnsi="Calibri"/>
          <w:sz w:val="32"/>
          <w:szCs w:val="32"/>
        </w:rPr>
        <w:t>决策的概念与要素、决策与计划的关系、决策的功能与任务；决策的分类与特征；决策过程模型、决策的影响因素、决策的准则；决策的内外部环境及分析方法；决策方法及过程；计划的本质与特征、计划的类型与作用、计划编制的过程与方法；推进计划的流程与方法（目标管理、PDCA循环、预算管理）；决策追踪与调整的内涵、原则、程序及方法。</w:t>
      </w:r>
    </w:p>
    <w:p w14:paraId="61F83F64">
      <w:pPr>
        <w:spacing w:line="360" w:lineRule="auto"/>
        <w:ind w:firstLine="640" w:firstLineChars="200"/>
        <w:jc w:val="left"/>
        <w:rPr>
          <w:rFonts w:ascii="Calibri" w:hAnsi="Calibri"/>
          <w:sz w:val="32"/>
          <w:szCs w:val="32"/>
        </w:rPr>
      </w:pPr>
      <w:r>
        <w:rPr>
          <w:rFonts w:hint="eastAsia" w:ascii="Calibri" w:hAnsi="Calibri"/>
          <w:sz w:val="32"/>
          <w:szCs w:val="32"/>
        </w:rPr>
        <w:t>3. 组织</w:t>
      </w:r>
    </w:p>
    <w:p w14:paraId="7FAA4C78">
      <w:pPr>
        <w:spacing w:line="360" w:lineRule="auto"/>
        <w:ind w:firstLine="640" w:firstLineChars="200"/>
        <w:jc w:val="left"/>
        <w:rPr>
          <w:rFonts w:ascii="Calibri" w:hAnsi="Calibri"/>
          <w:sz w:val="32"/>
          <w:szCs w:val="32"/>
        </w:rPr>
      </w:pPr>
      <w:r>
        <w:rPr>
          <w:rFonts w:hint="eastAsia" w:ascii="Calibri" w:hAnsi="Calibri"/>
          <w:sz w:val="32"/>
          <w:szCs w:val="32"/>
        </w:rPr>
        <w:t>组织设计的任务、组织设计的影响因素、组织设计的原则；组织结构的概念、组织结构的形成、组织结构的演变趋势；正式组织与非正式组织的整合、组织层级的整合；人员配备的任务、工作内容和原则；人员选聘与认识考评；人员的培训与发展；组织文化的概念、分类、特征与影响因素；组织文化的构成、功能、反功能；组织文化塑造。</w:t>
      </w:r>
    </w:p>
    <w:p w14:paraId="38CA5286">
      <w:pPr>
        <w:spacing w:line="360" w:lineRule="auto"/>
        <w:ind w:firstLine="640" w:firstLineChars="200"/>
        <w:jc w:val="left"/>
        <w:rPr>
          <w:rFonts w:hint="eastAsia" w:ascii="Calibri" w:hAnsi="Calibri"/>
          <w:sz w:val="32"/>
          <w:szCs w:val="32"/>
        </w:rPr>
      </w:pPr>
    </w:p>
    <w:p w14:paraId="765E44F2">
      <w:pPr>
        <w:spacing w:line="360" w:lineRule="auto"/>
        <w:ind w:firstLine="640" w:firstLineChars="200"/>
        <w:jc w:val="left"/>
        <w:rPr>
          <w:rFonts w:ascii="Calibri" w:hAnsi="Calibri"/>
          <w:sz w:val="32"/>
          <w:szCs w:val="32"/>
        </w:rPr>
      </w:pPr>
      <w:r>
        <w:rPr>
          <w:rFonts w:hint="eastAsia" w:ascii="Calibri" w:hAnsi="Calibri"/>
          <w:sz w:val="32"/>
          <w:szCs w:val="32"/>
        </w:rPr>
        <w:t>4. 领导</w:t>
      </w:r>
    </w:p>
    <w:p w14:paraId="0C62D021">
      <w:pPr>
        <w:spacing w:line="360" w:lineRule="auto"/>
        <w:ind w:firstLine="640" w:firstLineChars="200"/>
        <w:jc w:val="left"/>
        <w:rPr>
          <w:rFonts w:ascii="Calibri" w:hAnsi="Calibri"/>
          <w:sz w:val="32"/>
          <w:szCs w:val="32"/>
        </w:rPr>
      </w:pPr>
      <w:r>
        <w:rPr>
          <w:rFonts w:hint="eastAsia" w:ascii="Calibri" w:hAnsi="Calibri"/>
          <w:sz w:val="32"/>
          <w:szCs w:val="32"/>
        </w:rPr>
        <w:t>领导与管理、领导权力的来源、领导三要素；领导者特质理论、领导者行为理论、领导者团队理论；情境领导模型；权变领导理论；人的行为过程及特点、人性假设及发展、激励机理；行为基础理论、过程激励理论、行为强化理论；激励方法；沟通及沟通的功能、过程、类型、渠道；有效沟通的标准、影响有效沟通的因素、克服沟通障碍；冲突及其管理。</w:t>
      </w:r>
    </w:p>
    <w:p w14:paraId="03EBCE09">
      <w:pPr>
        <w:spacing w:line="360" w:lineRule="auto"/>
        <w:ind w:firstLine="640" w:firstLineChars="200"/>
        <w:jc w:val="left"/>
        <w:rPr>
          <w:rFonts w:ascii="Calibri" w:hAnsi="Calibri"/>
          <w:sz w:val="32"/>
          <w:szCs w:val="32"/>
        </w:rPr>
      </w:pPr>
      <w:r>
        <w:rPr>
          <w:rFonts w:hint="eastAsia" w:ascii="Calibri" w:hAnsi="Calibri"/>
          <w:sz w:val="32"/>
          <w:szCs w:val="32"/>
        </w:rPr>
        <w:t>5. 控制</w:t>
      </w:r>
    </w:p>
    <w:p w14:paraId="0AB847DD">
      <w:pPr>
        <w:spacing w:line="360" w:lineRule="auto"/>
        <w:ind w:firstLine="640" w:firstLineChars="200"/>
        <w:jc w:val="left"/>
        <w:rPr>
          <w:rFonts w:hint="default" w:ascii="Calibri" w:hAnsi="Calibri"/>
          <w:sz w:val="32"/>
          <w:szCs w:val="32"/>
          <w:lang w:val="en-US" w:eastAsia="zh-CN"/>
        </w:rPr>
      </w:pPr>
      <w:r>
        <w:rPr>
          <w:rFonts w:hint="eastAsia" w:ascii="Calibri" w:hAnsi="Calibri"/>
          <w:sz w:val="32"/>
          <w:szCs w:val="32"/>
        </w:rPr>
        <w:t>控制的内涵和原则、控制的类型、控制的过程；层级控制、市场控制与团体控制；质量控制与方法；风险控制与危机管理</w:t>
      </w:r>
      <w:r>
        <w:rPr>
          <w:rFonts w:hint="eastAsia" w:ascii="Calibri" w:hAnsi="Calibri"/>
          <w:sz w:val="32"/>
          <w:szCs w:val="32"/>
          <w:lang w:eastAsia="zh-CN"/>
        </w:rPr>
        <w:t>；</w:t>
      </w:r>
      <w:r>
        <w:rPr>
          <w:rFonts w:hint="eastAsia" w:ascii="Calibri" w:hAnsi="Calibri"/>
          <w:sz w:val="32"/>
          <w:szCs w:val="32"/>
          <w:lang w:val="en-US" w:eastAsia="zh-CN"/>
        </w:rPr>
        <w:t>管理控制的信息技术。</w:t>
      </w:r>
    </w:p>
    <w:p w14:paraId="1FCF7AA7">
      <w:pPr>
        <w:spacing w:line="360" w:lineRule="auto"/>
        <w:ind w:firstLine="640" w:firstLineChars="200"/>
        <w:jc w:val="left"/>
        <w:rPr>
          <w:rFonts w:ascii="Calibri" w:hAnsi="Calibri"/>
          <w:sz w:val="32"/>
          <w:szCs w:val="32"/>
        </w:rPr>
      </w:pPr>
      <w:r>
        <w:rPr>
          <w:rFonts w:hint="eastAsia" w:ascii="Calibri" w:hAnsi="Calibri"/>
          <w:sz w:val="32"/>
          <w:szCs w:val="32"/>
        </w:rPr>
        <w:t>6. 创新</w:t>
      </w:r>
    </w:p>
    <w:p w14:paraId="21E01C68">
      <w:pPr>
        <w:spacing w:line="360" w:lineRule="auto"/>
        <w:ind w:firstLine="640" w:firstLineChars="200"/>
        <w:rPr>
          <w:rFonts w:hint="eastAsia" w:ascii="宋体" w:hAnsi="宋体"/>
          <w:sz w:val="32"/>
          <w:szCs w:val="32"/>
        </w:rPr>
      </w:pPr>
      <w:r>
        <w:rPr>
          <w:rFonts w:hint="eastAsia" w:ascii="Verdana" w:hAnsi="Verdana" w:cs="Arial"/>
          <w:color w:val="000000"/>
          <w:kern w:val="0"/>
          <w:sz w:val="32"/>
          <w:szCs w:val="32"/>
        </w:rPr>
        <w:t>管理创新的内涵、管理工作维持和创新的关系、管理创新的类型与基本内容、创新动力来源、创新管理决策、实施创新领导、创新活动的评估与审计；</w:t>
      </w:r>
      <w:r>
        <w:rPr>
          <w:rFonts w:hint="eastAsia" w:ascii="宋体" w:hAnsi="宋体"/>
          <w:sz w:val="32"/>
          <w:szCs w:val="32"/>
        </w:rPr>
        <w:t>组织变革的模式、组织变革的路径与障碍、组织变革过程管理；创新与学习型组织建设。</w:t>
      </w:r>
    </w:p>
    <w:p w14:paraId="3831D4FD">
      <w:pPr>
        <w:spacing w:line="360" w:lineRule="auto"/>
        <w:ind w:firstLine="640" w:firstLineChars="200"/>
        <w:jc w:val="left"/>
        <w:rPr>
          <w:rFonts w:hint="eastAsia" w:ascii="Calibri" w:hAnsi="Calibri"/>
          <w:sz w:val="32"/>
          <w:szCs w:val="32"/>
          <w:lang w:val="en-US" w:eastAsia="zh-CN"/>
        </w:rPr>
      </w:pPr>
      <w:r>
        <w:rPr>
          <w:rFonts w:hint="eastAsia" w:ascii="Calibri" w:hAnsi="Calibri"/>
          <w:sz w:val="32"/>
          <w:szCs w:val="32"/>
          <w:lang w:val="en-US" w:eastAsia="zh-CN"/>
        </w:rPr>
        <w:t>7.人工智能时代的管理展望</w:t>
      </w:r>
    </w:p>
    <w:p w14:paraId="3E534CF8">
      <w:pPr>
        <w:spacing w:line="360" w:lineRule="auto"/>
        <w:ind w:firstLine="640" w:firstLineChars="200"/>
        <w:jc w:val="left"/>
        <w:rPr>
          <w:rFonts w:hint="default" w:ascii="Calibri" w:hAnsi="Calibri"/>
          <w:sz w:val="32"/>
          <w:szCs w:val="32"/>
          <w:lang w:val="en-US" w:eastAsia="zh-CN"/>
        </w:rPr>
      </w:pPr>
      <w:r>
        <w:rPr>
          <w:rFonts w:hint="eastAsia" w:ascii="Calibri" w:hAnsi="Calibri"/>
          <w:sz w:val="32"/>
          <w:szCs w:val="32"/>
          <w:lang w:val="en-US" w:eastAsia="zh-CN"/>
        </w:rPr>
        <w:t>人工智能在企业管理中</w:t>
      </w:r>
      <w:bookmarkStart w:id="0" w:name="_GoBack"/>
      <w:bookmarkEnd w:id="0"/>
      <w:r>
        <w:rPr>
          <w:rFonts w:hint="eastAsia" w:ascii="Calibri" w:hAnsi="Calibri"/>
          <w:sz w:val="32"/>
          <w:szCs w:val="32"/>
          <w:lang w:val="en-US" w:eastAsia="zh-CN"/>
        </w:rPr>
        <w:t>的广泛应用；人工智能广泛应用对企业活动产生的影响；人工智能广泛应用引发的管理革命。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Microsoft YaHei UI">
    <w:altName w:val="宋体"/>
    <w:panose1 w:val="020B0503020204020204"/>
    <w:charset w:val="86"/>
    <w:family w:val="auto"/>
    <w:pitch w:val="default"/>
    <w:sig w:usb0="00000000" w:usb1="00000000" w:usb2="00000016" w:usb3="00000000" w:csb0="0004001F" w:csb1="00000000"/>
  </w:font>
  <w:font w:name="Verdana">
    <w:panose1 w:val="020B0604030504040204"/>
    <w:charset w:val="00"/>
    <w:family w:val="swiss"/>
    <w:pitch w:val="default"/>
    <w:sig w:usb0="A10006FF" w:usb1="4000205B" w:usb2="00000010" w:usb3="00000000" w:csb0="2000019F" w:csb1="00000000"/>
  </w:font>
  <w:font w:name="Malgun Gothic Semilight">
    <w:altName w:val="宋体"/>
    <w:panose1 w:val="020B0502040204020203"/>
    <w:charset w:val="86"/>
    <w:family w:val="swiss"/>
    <w:pitch w:val="default"/>
    <w:sig w:usb0="00000000" w:usb1="00000000" w:usb2="00000012" w:usb3="00000000" w:csb0="203E01BD" w:csb1="D7FF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C36"/>
    <w:rsid w:val="0006056E"/>
    <w:rsid w:val="00100CDC"/>
    <w:rsid w:val="00165391"/>
    <w:rsid w:val="001E08A8"/>
    <w:rsid w:val="00220B6D"/>
    <w:rsid w:val="00285145"/>
    <w:rsid w:val="0029253F"/>
    <w:rsid w:val="002D3CB8"/>
    <w:rsid w:val="00347C36"/>
    <w:rsid w:val="003862BB"/>
    <w:rsid w:val="0039786A"/>
    <w:rsid w:val="005302A7"/>
    <w:rsid w:val="00555A4D"/>
    <w:rsid w:val="005A7B25"/>
    <w:rsid w:val="005B5480"/>
    <w:rsid w:val="006072A8"/>
    <w:rsid w:val="00616898"/>
    <w:rsid w:val="0063123B"/>
    <w:rsid w:val="006354A7"/>
    <w:rsid w:val="007F2F6E"/>
    <w:rsid w:val="00A226CA"/>
    <w:rsid w:val="00A60360"/>
    <w:rsid w:val="00B14864"/>
    <w:rsid w:val="00C03541"/>
    <w:rsid w:val="00CE72C7"/>
    <w:rsid w:val="00D168AF"/>
    <w:rsid w:val="00D23862"/>
    <w:rsid w:val="00E03949"/>
    <w:rsid w:val="00F35A84"/>
    <w:rsid w:val="00FF0D88"/>
    <w:rsid w:val="1BC11999"/>
    <w:rsid w:val="330E665B"/>
    <w:rsid w:val="35B22812"/>
    <w:rsid w:val="5E697409"/>
    <w:rsid w:val="70BB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uiPriority w:val="99"/>
    <w:rPr>
      <w:color w:val="0000FF"/>
      <w:u w:val="single"/>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3</Pages>
  <Words>1210</Words>
  <Characters>1228</Characters>
  <Lines>8</Lines>
  <Paragraphs>2</Paragraphs>
  <TotalTime>235</TotalTime>
  <ScaleCrop>false</ScaleCrop>
  <LinksUpToDate>false</LinksUpToDate>
  <CharactersWithSpaces>1234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2023-06-20T08:30:00Z</dcterms:created>
  <dc:creator>张琼渊</dc:creator>
  <cp:lastModifiedBy>YC</cp:lastModifiedBy>
  <dcterms:modified xsi:type="dcterms:W3CDTF">2025-06-26T00:47:35Z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eyJoZGlkIjoiZjYwNjNlZjUwMGYwNmU2ZjkxZjI2NGY1OTI0YWRlZDMiLCJ1c2VySWQiOiI0MTQzMDMxMzkifQ==</vt:lpwstr>
  </property>
  <property fmtid="{D5CDD505-2E9C-101B-9397-08002B2CF9AE}" pid="3" name="KSOProductBuildVer">
    <vt:lpwstr>2052-12.1.0.21541</vt:lpwstr>
  </property>
  <property fmtid="{D5CDD505-2E9C-101B-9397-08002B2CF9AE}" pid="4" name="ICV">
    <vt:lpwstr>C225B068BA7843D88BBA61D1AACE5B31_13</vt:lpwstr>
  </property>
</Properties>
</file>