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utoSpaceDE w:val="0"/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2019年研究生</w:t>
      </w:r>
      <w:r>
        <w:rPr>
          <w:rFonts w:hint="eastAsia" w:ascii="黑体" w:hAnsi="黑体" w:eastAsia="黑体"/>
          <w:sz w:val="32"/>
          <w:szCs w:val="32"/>
          <w:lang w:eastAsia="zh-CN"/>
        </w:rPr>
        <w:t>课程建设</w:t>
      </w:r>
      <w:r>
        <w:rPr>
          <w:rFonts w:hint="eastAsia" w:ascii="黑体" w:hAnsi="黑体" w:eastAsia="黑体"/>
          <w:sz w:val="32"/>
          <w:szCs w:val="32"/>
        </w:rPr>
        <w:t>项目名单</w:t>
      </w:r>
    </w:p>
    <w:tbl>
      <w:tblPr>
        <w:tblStyle w:val="3"/>
        <w:tblpPr w:leftFromText="180" w:rightFromText="180" w:vertAnchor="text" w:horzAnchor="page" w:tblpX="1087" w:tblpY="239"/>
        <w:tblOverlap w:val="never"/>
        <w:tblW w:w="14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860"/>
        <w:gridCol w:w="3075"/>
        <w:gridCol w:w="3840"/>
        <w:gridCol w:w="210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  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项目负责人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教育学院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课程与教学论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殷世东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心理学院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心理发展与教育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张锦坤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自然辩证法概论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黄正华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公共管理学院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公共管理学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张翔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美术学院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福建民间工艺美术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王晓戈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数学与信息学院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实与复分析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高进寿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数学与信息学院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代数学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肖民卿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环境科学与工程学院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研究生学术论文写作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陈祖亮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201909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核心课程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生命科学学院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现代微生物学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杨民和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201910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双语课程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文学院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宗教与文学                         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刘海燕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KCJS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双语课程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海外教育学院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汉语作为第二语言教学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张莹莹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2019年11月-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2021年11月</w:t>
            </w:r>
          </w:p>
        </w:tc>
      </w:tr>
    </w:tbl>
    <w:p>
      <w:pPr>
        <w:autoSpaceDE w:val="0"/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81E6A"/>
    <w:rsid w:val="08C14991"/>
    <w:rsid w:val="15481E6A"/>
    <w:rsid w:val="30353BA1"/>
    <w:rsid w:val="55F11CD8"/>
    <w:rsid w:val="5AFF7882"/>
    <w:rsid w:val="5C137D64"/>
    <w:rsid w:val="641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2019-03-27T02:36:00Z</dcterms:created>
  <dc:creator>lyj</dc:creator>
  <cp:lastModifiedBy>✨卢燕君✨</cp:lastModifiedBy>
  <cp:lastPrinted>2019-11-08T09:28:35Z</cp:lastPrinted>
  <dcterms:modified xsi:type="dcterms:W3CDTF">2019-11-08T09:29:08Z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